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8586B" w14:textId="1BA7DF87" w:rsidR="00A27B82" w:rsidRPr="00A27B82" w:rsidRDefault="00A27B82" w:rsidP="005F53D3">
      <w:pPr>
        <w:tabs>
          <w:tab w:val="left" w:pos="1985"/>
        </w:tabs>
        <w:spacing w:after="0"/>
        <w:jc w:val="both"/>
        <w:rPr>
          <w:rFonts w:ascii="Arial" w:hAnsi="Arial" w:cs="Arial"/>
          <w:b/>
          <w:bCs/>
          <w:sz w:val="22"/>
          <w:lang w:val="en-GB"/>
        </w:rPr>
      </w:pPr>
      <w:r w:rsidRPr="00A27B82">
        <w:rPr>
          <w:rFonts w:ascii="Arial" w:hAnsi="Arial" w:cs="Arial"/>
          <w:b/>
          <w:bCs/>
          <w:sz w:val="22"/>
          <w:lang w:val="en-GB"/>
        </w:rPr>
        <w:t>3GPP TSG RAN WG1 Meeting #92</w:t>
      </w:r>
      <w:r w:rsidR="0080677B">
        <w:rPr>
          <w:rFonts w:ascii="Arial" w:hAnsi="Arial" w:cs="Arial"/>
          <w:b/>
          <w:bCs/>
          <w:sz w:val="22"/>
          <w:lang w:val="en-GB"/>
        </w:rPr>
        <w:t>bis</w:t>
      </w:r>
      <w:r w:rsidRPr="00A27B82">
        <w:rPr>
          <w:rFonts w:ascii="Arial" w:hAnsi="Arial" w:cs="Arial"/>
          <w:b/>
          <w:bCs/>
          <w:sz w:val="22"/>
          <w:lang w:val="en-GB"/>
        </w:rPr>
        <w:tab/>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80677B">
        <w:rPr>
          <w:rFonts w:ascii="Arial" w:hAnsi="Arial" w:cs="Arial"/>
          <w:b/>
          <w:bCs/>
          <w:sz w:val="22"/>
          <w:lang w:val="en-GB"/>
        </w:rPr>
        <w:t xml:space="preserve">                           </w:t>
      </w:r>
      <w:r w:rsidR="004B02C4">
        <w:rPr>
          <w:rFonts w:ascii="Arial" w:hAnsi="Arial" w:cs="Arial"/>
          <w:b/>
          <w:bCs/>
          <w:sz w:val="22"/>
          <w:lang w:val="en-GB"/>
        </w:rPr>
        <w:t>R1-1804825</w:t>
      </w:r>
    </w:p>
    <w:p w14:paraId="5C74F1A3" w14:textId="0FE0120C" w:rsidR="00A27B82" w:rsidRPr="00A27B82" w:rsidRDefault="0080677B" w:rsidP="005F53D3">
      <w:pPr>
        <w:tabs>
          <w:tab w:val="left" w:pos="1985"/>
        </w:tabs>
        <w:spacing w:after="0"/>
        <w:jc w:val="both"/>
        <w:rPr>
          <w:rFonts w:ascii="Arial" w:hAnsi="Arial" w:cs="Arial"/>
          <w:b/>
          <w:bCs/>
          <w:sz w:val="22"/>
          <w:lang w:val="en-GB"/>
        </w:rPr>
      </w:pPr>
      <w:r>
        <w:rPr>
          <w:rFonts w:ascii="Arial" w:hAnsi="Arial" w:cs="Arial"/>
          <w:b/>
          <w:bCs/>
          <w:sz w:val="22"/>
          <w:lang w:val="en-GB"/>
        </w:rPr>
        <w:t>Sanya, China, April 1</w:t>
      </w:r>
      <w:r w:rsidR="00A27B82" w:rsidRPr="00A27B82">
        <w:rPr>
          <w:rFonts w:ascii="Arial" w:hAnsi="Arial" w:cs="Arial"/>
          <w:b/>
          <w:bCs/>
          <w:sz w:val="22"/>
          <w:lang w:val="en-GB"/>
        </w:rPr>
        <w:t>6</w:t>
      </w:r>
      <w:r w:rsidR="00A27B82" w:rsidRPr="00A27B82">
        <w:rPr>
          <w:rFonts w:ascii="Arial" w:hAnsi="Arial" w:cs="Arial"/>
          <w:b/>
          <w:bCs/>
          <w:sz w:val="22"/>
          <w:vertAlign w:val="superscript"/>
          <w:lang w:val="en-GB"/>
        </w:rPr>
        <w:t>th</w:t>
      </w:r>
      <w:r>
        <w:rPr>
          <w:rFonts w:ascii="Arial" w:hAnsi="Arial" w:cs="Arial"/>
          <w:b/>
          <w:bCs/>
          <w:sz w:val="22"/>
          <w:lang w:val="en-GB"/>
        </w:rPr>
        <w:t xml:space="preserve"> – April 20</w:t>
      </w:r>
      <w:r w:rsidRPr="0080677B">
        <w:rPr>
          <w:rFonts w:ascii="Arial" w:hAnsi="Arial" w:cs="Arial"/>
          <w:b/>
          <w:bCs/>
          <w:sz w:val="22"/>
          <w:vertAlign w:val="superscript"/>
          <w:lang w:val="en-GB"/>
        </w:rPr>
        <w:t>th</w:t>
      </w:r>
      <w:r w:rsidR="00A27B82" w:rsidRPr="00A27B82">
        <w:rPr>
          <w:rFonts w:ascii="Arial" w:hAnsi="Arial" w:cs="Arial"/>
          <w:b/>
          <w:bCs/>
          <w:sz w:val="22"/>
          <w:lang w:val="en-GB"/>
        </w:rPr>
        <w:t xml:space="preserve">, 2018 </w:t>
      </w:r>
    </w:p>
    <w:p w14:paraId="5D16BDD8" w14:textId="77777777" w:rsidR="00E356DB" w:rsidRDefault="00E356DB" w:rsidP="00E15352">
      <w:pPr>
        <w:tabs>
          <w:tab w:val="left" w:pos="1985"/>
        </w:tabs>
        <w:jc w:val="both"/>
        <w:rPr>
          <w:rFonts w:ascii="Arial" w:hAnsi="Arial"/>
          <w:b/>
          <w:sz w:val="24"/>
        </w:rPr>
      </w:pPr>
    </w:p>
    <w:p w14:paraId="43B7F87C" w14:textId="553A3E5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676D0">
        <w:rPr>
          <w:rFonts w:ascii="Arial" w:hAnsi="Arial"/>
          <w:sz w:val="24"/>
        </w:rPr>
        <w:t>7</w:t>
      </w:r>
      <w:r w:rsidR="006A0E7B">
        <w:rPr>
          <w:rFonts w:ascii="Arial" w:hAnsi="Arial"/>
          <w:sz w:val="24"/>
        </w:rPr>
        <w:t>.4.</w:t>
      </w:r>
      <w:r w:rsidR="00BE3DEC">
        <w:rPr>
          <w:rFonts w:ascii="Arial" w:hAnsi="Arial"/>
          <w:sz w:val="24"/>
        </w:rPr>
        <w:t>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03B669CD"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B1FB2">
        <w:rPr>
          <w:rFonts w:ascii="Arial" w:hAnsi="Arial"/>
          <w:sz w:val="24"/>
        </w:rPr>
        <w:t xml:space="preserve">Procedures Related to </w:t>
      </w:r>
      <w:r w:rsidR="0082542B">
        <w:rPr>
          <w:rFonts w:ascii="Arial" w:hAnsi="Arial"/>
          <w:sz w:val="24"/>
        </w:rPr>
        <w:t>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37612F10" w14:textId="580C313C" w:rsidR="005F5060" w:rsidRDefault="005F5060" w:rsidP="005F5060">
      <w:pPr>
        <w:snapToGrid w:val="0"/>
        <w:spacing w:before="100" w:beforeAutospacing="1" w:after="100" w:afterAutospacing="1"/>
        <w:contextualSpacing/>
        <w:jc w:val="both"/>
        <w:rPr>
          <w:sz w:val="22"/>
          <w:szCs w:val="22"/>
        </w:rPr>
      </w:pPr>
      <w:r w:rsidRPr="009770F8">
        <w:rPr>
          <w:sz w:val="22"/>
          <w:szCs w:val="22"/>
        </w:rPr>
        <w:t>In RAN1 #84b, it was agreed that non-orthogonal multiple access (NOMA) schemes should be investigated</w:t>
      </w:r>
      <w:r>
        <w:rPr>
          <w:sz w:val="22"/>
          <w:szCs w:val="22"/>
        </w:rPr>
        <w:t xml:space="preserve"> [1]</w:t>
      </w:r>
      <w:r w:rsidRPr="009770F8">
        <w:rPr>
          <w:sz w:val="22"/>
          <w:szCs w:val="22"/>
        </w:rPr>
        <w:t>.  In 3GPP Plenary #7</w:t>
      </w:r>
      <w:r>
        <w:rPr>
          <w:sz w:val="22"/>
          <w:szCs w:val="22"/>
        </w:rPr>
        <w:t>8</w:t>
      </w:r>
      <w:r w:rsidRPr="009770F8">
        <w:rPr>
          <w:sz w:val="22"/>
          <w:szCs w:val="22"/>
        </w:rPr>
        <w:t xml:space="preserve">, NOMA was agreed as </w:t>
      </w:r>
      <w:r>
        <w:rPr>
          <w:sz w:val="22"/>
          <w:szCs w:val="22"/>
        </w:rPr>
        <w:t xml:space="preserve">a study item (SI) for NR Rel-15 [2]. In particular, </w:t>
      </w:r>
      <w:r w:rsidRPr="009770F8">
        <w:rPr>
          <w:sz w:val="22"/>
          <w:szCs w:val="22"/>
        </w:rPr>
        <w:t xml:space="preserve">uplink (UL) NOMA </w:t>
      </w:r>
      <w:r>
        <w:rPr>
          <w:sz w:val="22"/>
          <w:szCs w:val="22"/>
        </w:rPr>
        <w:t xml:space="preserve">is </w:t>
      </w:r>
      <w:r w:rsidRPr="009770F8">
        <w:rPr>
          <w:sz w:val="22"/>
          <w:szCs w:val="22"/>
        </w:rPr>
        <w:t xml:space="preserve">studied for </w:t>
      </w:r>
      <w:r>
        <w:rPr>
          <w:sz w:val="22"/>
          <w:szCs w:val="22"/>
        </w:rPr>
        <w:t xml:space="preserve">both grant-based and grant-free transmissions for </w:t>
      </w:r>
      <w:r w:rsidRPr="009770F8">
        <w:rPr>
          <w:sz w:val="22"/>
          <w:szCs w:val="22"/>
        </w:rPr>
        <w:t>eMBB, URLLC and mMTC</w:t>
      </w:r>
      <w:r>
        <w:rPr>
          <w:sz w:val="22"/>
          <w:szCs w:val="22"/>
        </w:rPr>
        <w:t xml:space="preserve"> [2-5]</w:t>
      </w:r>
      <w:r w:rsidRPr="009770F8">
        <w:rPr>
          <w:sz w:val="22"/>
          <w:szCs w:val="22"/>
        </w:rPr>
        <w:t>.</w:t>
      </w:r>
      <w:r>
        <w:rPr>
          <w:sz w:val="22"/>
          <w:szCs w:val="22"/>
        </w:rPr>
        <w:t xml:space="preserve"> To obtain a unified and NR-compliant framework for link level simulation (LLS), assumptions and evaluations have been discussed in RAN1-92</w:t>
      </w:r>
      <w:r w:rsidR="00F9441F">
        <w:rPr>
          <w:sz w:val="22"/>
          <w:szCs w:val="22"/>
        </w:rPr>
        <w:t xml:space="preserve"> [4-5]</w:t>
      </w:r>
      <w:r>
        <w:rPr>
          <w:sz w:val="22"/>
          <w:szCs w:val="22"/>
        </w:rPr>
        <w:t>.</w:t>
      </w:r>
      <w:r w:rsidR="00F9441F">
        <w:rPr>
          <w:sz w:val="22"/>
          <w:szCs w:val="22"/>
        </w:rPr>
        <w:t xml:space="preserve"> </w:t>
      </w:r>
    </w:p>
    <w:p w14:paraId="66C9B26C" w14:textId="24D9C181" w:rsidR="00882BB8" w:rsidRDefault="00882BB8" w:rsidP="005F5060">
      <w:pPr>
        <w:snapToGrid w:val="0"/>
        <w:spacing w:before="100" w:beforeAutospacing="1" w:after="100" w:afterAutospacing="1"/>
        <w:contextualSpacing/>
        <w:jc w:val="both"/>
        <w:rPr>
          <w:sz w:val="22"/>
          <w:szCs w:val="22"/>
        </w:rPr>
      </w:pPr>
    </w:p>
    <w:p w14:paraId="1DF08B08" w14:textId="06215994" w:rsidR="00882BB8" w:rsidRDefault="00882BB8" w:rsidP="00882BB8">
      <w:pPr>
        <w:snapToGrid w:val="0"/>
        <w:spacing w:after="120"/>
        <w:contextualSpacing/>
        <w:jc w:val="both"/>
        <w:rPr>
          <w:sz w:val="22"/>
          <w:szCs w:val="22"/>
        </w:rPr>
      </w:pPr>
      <w:r>
        <w:rPr>
          <w:rFonts w:eastAsia="MS Mincho"/>
          <w:sz w:val="22"/>
          <w:lang w:val="en-GB"/>
        </w:rPr>
        <w:t>In this</w:t>
      </w:r>
      <w:r w:rsidRPr="005D705E">
        <w:rPr>
          <w:rFonts w:eastAsia="MS Mincho"/>
          <w:sz w:val="22"/>
        </w:rPr>
        <w:t xml:space="preserve"> </w:t>
      </w:r>
      <w:r>
        <w:rPr>
          <w:rFonts w:eastAsia="MS Mincho"/>
          <w:sz w:val="22"/>
        </w:rPr>
        <w:t xml:space="preserve">contribution, we discuss the PHY/MAC procedures related to NOMA [6-18]. </w:t>
      </w:r>
      <w:r>
        <w:rPr>
          <w:sz w:val="22"/>
          <w:szCs w:val="22"/>
        </w:rPr>
        <w:t>The transmitter side signal processing</w:t>
      </w:r>
      <w:r w:rsidRPr="009770F8">
        <w:rPr>
          <w:sz w:val="22"/>
          <w:szCs w:val="22"/>
        </w:rPr>
        <w:t>, details for link and system level evaluation</w:t>
      </w:r>
      <w:r>
        <w:rPr>
          <w:sz w:val="22"/>
          <w:szCs w:val="22"/>
        </w:rPr>
        <w:t>s, and receiver design</w:t>
      </w:r>
      <w:r w:rsidRPr="009770F8">
        <w:rPr>
          <w:sz w:val="22"/>
          <w:szCs w:val="22"/>
        </w:rPr>
        <w:t xml:space="preserve"> </w:t>
      </w:r>
      <w:r>
        <w:rPr>
          <w:sz w:val="22"/>
          <w:szCs w:val="22"/>
        </w:rPr>
        <w:t xml:space="preserve">can be found </w:t>
      </w:r>
      <w:r w:rsidRPr="009770F8">
        <w:rPr>
          <w:sz w:val="22"/>
          <w:szCs w:val="22"/>
        </w:rPr>
        <w:t>in companion proposals [</w:t>
      </w:r>
      <w:r>
        <w:rPr>
          <w:sz w:val="22"/>
          <w:szCs w:val="22"/>
        </w:rPr>
        <w:t>20-22</w:t>
      </w:r>
      <w:r w:rsidRPr="009770F8">
        <w:rPr>
          <w:sz w:val="22"/>
          <w:szCs w:val="22"/>
        </w:rPr>
        <w:t>].</w:t>
      </w:r>
    </w:p>
    <w:p w14:paraId="48762994" w14:textId="636E8BC5" w:rsidR="004A489E" w:rsidRDefault="004A489E" w:rsidP="00882BB8">
      <w:pPr>
        <w:snapToGrid w:val="0"/>
        <w:spacing w:after="120"/>
        <w:contextualSpacing/>
        <w:jc w:val="both"/>
        <w:rPr>
          <w:sz w:val="22"/>
          <w:szCs w:val="22"/>
        </w:rPr>
      </w:pPr>
    </w:p>
    <w:p w14:paraId="3C839FA9" w14:textId="6CD965AF" w:rsidR="004A489E" w:rsidRDefault="004A489E" w:rsidP="004A489E">
      <w:pPr>
        <w:pStyle w:val="Heading1"/>
      </w:pPr>
      <w:r>
        <w:t>Benefits of NR NOMA</w:t>
      </w:r>
    </w:p>
    <w:p w14:paraId="3DDCF666" w14:textId="77777777" w:rsidR="004A489E" w:rsidRDefault="004A489E" w:rsidP="004A489E">
      <w:pPr>
        <w:snapToGrid w:val="0"/>
        <w:spacing w:before="100" w:beforeAutospacing="1" w:after="100" w:afterAutospacing="1"/>
        <w:contextualSpacing/>
        <w:jc w:val="both"/>
        <w:rPr>
          <w:sz w:val="22"/>
          <w:szCs w:val="22"/>
        </w:rPr>
      </w:pPr>
      <w:r w:rsidRPr="004A489E">
        <w:rPr>
          <w:sz w:val="22"/>
          <w:szCs w:val="22"/>
        </w:rPr>
        <w:t>In NOMA UL transmission, multiple UEs share the same time/frequency resources in a non-orthogonal way. The NOMA operation can take different modes. To illustrate, Table 1 summarizes the use cases and features of different operation modes of NOMA. In particular, the highlighted features in the fourth column reflect the benefits of NOMA. Candidate solutions based on our NOMA transmission proposal, multi-layer hybrid resource spreading multiple access (ML-RSMA) [20]</w:t>
      </w:r>
      <w:r>
        <w:rPr>
          <w:sz w:val="22"/>
          <w:szCs w:val="22"/>
        </w:rPr>
        <w:t>, are shown in the last column.</w:t>
      </w:r>
    </w:p>
    <w:p w14:paraId="1726A655" w14:textId="77777777" w:rsidR="004A489E" w:rsidRDefault="004A489E" w:rsidP="004A489E">
      <w:pPr>
        <w:snapToGrid w:val="0"/>
        <w:spacing w:before="100" w:beforeAutospacing="1" w:after="100" w:afterAutospacing="1"/>
        <w:contextualSpacing/>
        <w:jc w:val="both"/>
        <w:rPr>
          <w:sz w:val="22"/>
          <w:szCs w:val="22"/>
        </w:rPr>
      </w:pPr>
    </w:p>
    <w:p w14:paraId="6D81552E" w14:textId="77777777" w:rsidR="004A489E" w:rsidRDefault="004A489E" w:rsidP="004A489E">
      <w:pPr>
        <w:snapToGrid w:val="0"/>
        <w:spacing w:before="100" w:beforeAutospacing="1" w:after="100" w:afterAutospacing="1"/>
        <w:contextualSpacing/>
        <w:jc w:val="both"/>
        <w:rPr>
          <w:sz w:val="22"/>
          <w:szCs w:val="22"/>
        </w:rPr>
      </w:pPr>
    </w:p>
    <w:p w14:paraId="07AFF08D" w14:textId="46EFC0B1" w:rsidR="005F5060" w:rsidRPr="0067029C" w:rsidRDefault="005F5060" w:rsidP="005F5060">
      <w:pPr>
        <w:keepNext/>
        <w:spacing w:before="120" w:after="120"/>
        <w:jc w:val="center"/>
        <w:rPr>
          <w:b/>
          <w:bCs/>
        </w:rPr>
      </w:pPr>
      <w:r w:rsidRPr="0067029C">
        <w:rPr>
          <w:b/>
          <w:bCs/>
        </w:rPr>
        <w:t xml:space="preserve">Table </w:t>
      </w:r>
      <w:r w:rsidRPr="0067029C">
        <w:rPr>
          <w:b/>
          <w:bCs/>
        </w:rPr>
        <w:fldChar w:fldCharType="begin"/>
      </w:r>
      <w:r w:rsidRPr="0067029C">
        <w:rPr>
          <w:b/>
          <w:bCs/>
        </w:rPr>
        <w:instrText xml:space="preserve"> SEQ Table \* ARABIC </w:instrText>
      </w:r>
      <w:r w:rsidRPr="0067029C">
        <w:rPr>
          <w:b/>
          <w:bCs/>
        </w:rPr>
        <w:fldChar w:fldCharType="separate"/>
      </w:r>
      <w:r w:rsidRPr="0067029C">
        <w:rPr>
          <w:b/>
          <w:bCs/>
          <w:noProof/>
        </w:rPr>
        <w:t>1</w:t>
      </w:r>
      <w:r w:rsidRPr="0067029C">
        <w:rPr>
          <w:b/>
          <w:bCs/>
        </w:rPr>
        <w:fldChar w:fldCharType="end"/>
      </w:r>
      <w:r w:rsidRPr="0067029C">
        <w:rPr>
          <w:b/>
          <w:bCs/>
        </w:rPr>
        <w:t xml:space="preserve">: </w:t>
      </w:r>
      <w:r w:rsidR="00F9441F">
        <w:rPr>
          <w:b/>
          <w:bCs/>
        </w:rPr>
        <w:t xml:space="preserve">NR NOMA </w:t>
      </w:r>
      <w:r w:rsidRPr="0067029C">
        <w:rPr>
          <w:b/>
          <w:bCs/>
        </w:rPr>
        <w:t>Use Cases and Features Supporte</w:t>
      </w:r>
      <w:r w:rsidR="00F9441F">
        <w:rPr>
          <w:b/>
          <w:bCs/>
        </w:rPr>
        <w:t>d by Different Operation Modes</w:t>
      </w:r>
    </w:p>
    <w:p w14:paraId="03AC0BF8" w14:textId="56A4AE94" w:rsidR="005F5060" w:rsidRDefault="00F9441F" w:rsidP="005F5060">
      <w:pPr>
        <w:snapToGrid w:val="0"/>
        <w:spacing w:after="120"/>
        <w:contextualSpacing/>
        <w:jc w:val="both"/>
        <w:rPr>
          <w:rFonts w:eastAsia="MS Mincho"/>
          <w:sz w:val="22"/>
          <w:lang w:val="en-GB"/>
        </w:rPr>
      </w:pPr>
      <w:r>
        <w:rPr>
          <w:rFonts w:eastAsia="MS Mincho"/>
          <w:noProof/>
          <w:sz w:val="22"/>
          <w:lang w:val="en-GB"/>
        </w:rPr>
        <w:drawing>
          <wp:inline distT="0" distB="0" distL="0" distR="0" wp14:anchorId="1E47E699" wp14:editId="507FEC9A">
            <wp:extent cx="6346190" cy="1950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46190" cy="1950720"/>
                    </a:xfrm>
                    <a:prstGeom prst="rect">
                      <a:avLst/>
                    </a:prstGeom>
                    <a:noFill/>
                  </pic:spPr>
                </pic:pic>
              </a:graphicData>
            </a:graphic>
          </wp:inline>
        </w:drawing>
      </w:r>
    </w:p>
    <w:p w14:paraId="0A27FE27" w14:textId="35A7B043" w:rsidR="00BE3984" w:rsidRDefault="00BE3984" w:rsidP="005F5060">
      <w:pPr>
        <w:snapToGrid w:val="0"/>
        <w:spacing w:after="120"/>
        <w:contextualSpacing/>
        <w:jc w:val="both"/>
        <w:rPr>
          <w:rFonts w:eastAsia="MS Mincho"/>
          <w:sz w:val="22"/>
          <w:lang w:val="en-GB"/>
        </w:rPr>
      </w:pPr>
    </w:p>
    <w:p w14:paraId="590F07A6" w14:textId="411FC30C" w:rsidR="009E6B8B" w:rsidRDefault="009E6B8B" w:rsidP="009E6B8B">
      <w:pPr>
        <w:pStyle w:val="Heading2"/>
      </w:pPr>
      <w:r>
        <w:lastRenderedPageBreak/>
        <w:t>Signalling Overhead</w:t>
      </w:r>
    </w:p>
    <w:p w14:paraId="06F206D6" w14:textId="0C46F3CB" w:rsidR="009E6B8B" w:rsidRDefault="009E6B8B" w:rsidP="009E6B8B">
      <w:pPr>
        <w:snapToGrid w:val="0"/>
        <w:spacing w:after="120"/>
        <w:contextualSpacing/>
        <w:jc w:val="both"/>
        <w:rPr>
          <w:rFonts w:eastAsia="MS Mincho"/>
          <w:sz w:val="22"/>
          <w:lang w:val="en-GB"/>
        </w:rPr>
      </w:pPr>
      <w:r w:rsidRPr="009E6B8B">
        <w:rPr>
          <w:rFonts w:eastAsia="MS Mincho"/>
          <w:sz w:val="22"/>
          <w:lang w:val="en-GB"/>
        </w:rPr>
        <w:t xml:space="preserve">Cell-edge UEs which are power-limited may be allocated a small transmission bandwidth to </w:t>
      </w:r>
      <w:r w:rsidR="001973BE">
        <w:rPr>
          <w:rFonts w:eastAsia="MS Mincho"/>
          <w:sz w:val="22"/>
          <w:lang w:val="en-GB"/>
        </w:rPr>
        <w:t xml:space="preserve">ensure good SINR. Even for cell </w:t>
      </w:r>
      <w:r w:rsidRPr="009E6B8B">
        <w:rPr>
          <w:rFonts w:eastAsia="MS Mincho"/>
          <w:sz w:val="22"/>
          <w:lang w:val="en-GB"/>
        </w:rPr>
        <w:t xml:space="preserve">center UEs, if they only have small payloads, then it is likely that they are allocated only a small number of RBs. If the system bandwidth is large (e.g., 100 MHz), then to get good system utilization, several UEs may need to be scheduled in FDM-manner in one slot. </w:t>
      </w:r>
    </w:p>
    <w:p w14:paraId="145DDD9B" w14:textId="77777777" w:rsidR="009E6B8B" w:rsidRPr="009E6B8B" w:rsidRDefault="009E6B8B" w:rsidP="009E6B8B">
      <w:pPr>
        <w:snapToGrid w:val="0"/>
        <w:spacing w:after="120"/>
        <w:contextualSpacing/>
        <w:jc w:val="both"/>
        <w:rPr>
          <w:rFonts w:eastAsia="MS Mincho"/>
          <w:sz w:val="22"/>
          <w:lang w:val="en-GB"/>
        </w:rPr>
      </w:pPr>
    </w:p>
    <w:p w14:paraId="0DFCFB9D" w14:textId="77777777" w:rsidR="009E6B8B" w:rsidRPr="009E6B8B" w:rsidRDefault="009E6B8B" w:rsidP="009E6B8B">
      <w:pPr>
        <w:snapToGrid w:val="0"/>
        <w:spacing w:after="120"/>
        <w:contextualSpacing/>
        <w:jc w:val="both"/>
        <w:rPr>
          <w:rFonts w:eastAsia="MS Mincho"/>
          <w:sz w:val="22"/>
          <w:lang w:val="en-GB"/>
        </w:rPr>
      </w:pPr>
      <w:r w:rsidRPr="009E6B8B">
        <w:rPr>
          <w:rFonts w:eastAsia="MS Mincho"/>
          <w:sz w:val="22"/>
          <w:lang w:val="en-GB"/>
        </w:rPr>
        <w:t xml:space="preserve">Similarly, in the spatial domain, the number of antennas at the gNB may be large, but each UE’s rank may be small either because the UE is at the cell-edge or because it has small payloads. Then, several UEs may be scheduled together using multi-user MIMO to enhance the system capacity. </w:t>
      </w:r>
    </w:p>
    <w:p w14:paraId="3D4D6E88" w14:textId="30054FBC" w:rsidR="009E6B8B" w:rsidRDefault="009E6B8B" w:rsidP="009E6B8B">
      <w:pPr>
        <w:snapToGrid w:val="0"/>
        <w:spacing w:after="120"/>
        <w:contextualSpacing/>
        <w:jc w:val="both"/>
        <w:rPr>
          <w:rFonts w:eastAsia="MS Mincho"/>
          <w:sz w:val="22"/>
          <w:lang w:val="en-GB"/>
        </w:rPr>
      </w:pPr>
      <w:r w:rsidRPr="009E6B8B">
        <w:rPr>
          <w:rFonts w:eastAsia="MS Mincho"/>
          <w:sz w:val="22"/>
          <w:lang w:val="en-GB"/>
        </w:rPr>
        <w:t xml:space="preserve">In such scenarios, the total number of UEs scheduled in one slot may be high. The downlink control signalling overhead associated with the corresponding uplink grants could be quite high and may become the bottleneck for uplink performance. </w:t>
      </w:r>
    </w:p>
    <w:p w14:paraId="56D0B085" w14:textId="77777777" w:rsidR="009E6B8B" w:rsidRPr="009E6B8B" w:rsidRDefault="009E6B8B" w:rsidP="009E6B8B">
      <w:pPr>
        <w:snapToGrid w:val="0"/>
        <w:spacing w:after="120"/>
        <w:contextualSpacing/>
        <w:jc w:val="both"/>
        <w:rPr>
          <w:rFonts w:eastAsia="MS Mincho"/>
          <w:sz w:val="22"/>
          <w:lang w:val="en-GB"/>
        </w:rPr>
      </w:pPr>
    </w:p>
    <w:p w14:paraId="54281AA0" w14:textId="1D8CE713" w:rsidR="00BE3984" w:rsidRDefault="009E6B8B" w:rsidP="009E6B8B">
      <w:pPr>
        <w:snapToGrid w:val="0"/>
        <w:spacing w:after="120"/>
        <w:contextualSpacing/>
        <w:jc w:val="both"/>
        <w:rPr>
          <w:rFonts w:eastAsia="MS Mincho"/>
          <w:sz w:val="22"/>
          <w:lang w:val="en-GB"/>
        </w:rPr>
      </w:pPr>
      <w:r>
        <w:rPr>
          <w:rFonts w:eastAsia="MS Mincho"/>
          <w:sz w:val="22"/>
          <w:lang w:val="en-GB"/>
        </w:rPr>
        <w:t>To illustrate, the CDF curve in Figure 1</w:t>
      </w:r>
      <w:r w:rsidRPr="009E6B8B">
        <w:rPr>
          <w:rFonts w:eastAsia="MS Mincho"/>
          <w:sz w:val="22"/>
          <w:lang w:val="en-GB"/>
        </w:rPr>
        <w:t xml:space="preserve"> shows the distribution of the number of UL grants in a slot. This is derived from a full-buffer system simulation with 10 UEs per cell in the 200 m. ISD UMi layout, where the system bandwidth was assumed to be 100 MHz. The scheduler used FD</w:t>
      </w:r>
      <w:r w:rsidR="00C7103E">
        <w:rPr>
          <w:rFonts w:eastAsia="MS Mincho"/>
          <w:sz w:val="22"/>
          <w:lang w:val="en-GB"/>
        </w:rPr>
        <w:t>MA over 5 sub-bands and MU-MIMO, and t</w:t>
      </w:r>
      <w:r w:rsidRPr="009E6B8B">
        <w:rPr>
          <w:rFonts w:eastAsia="MS Mincho"/>
          <w:sz w:val="22"/>
          <w:lang w:val="en-GB"/>
        </w:rPr>
        <w:t>he gNB is assumed to have 64 ports.</w:t>
      </w:r>
    </w:p>
    <w:p w14:paraId="014F90F1" w14:textId="5B0AEE2F" w:rsidR="009E6B8B" w:rsidRDefault="009E6B8B" w:rsidP="009E6B8B">
      <w:pPr>
        <w:snapToGrid w:val="0"/>
        <w:spacing w:after="120"/>
        <w:contextualSpacing/>
        <w:jc w:val="both"/>
        <w:rPr>
          <w:rFonts w:eastAsia="MS Mincho"/>
          <w:sz w:val="22"/>
          <w:lang w:val="en-GB"/>
        </w:rPr>
      </w:pPr>
    </w:p>
    <w:p w14:paraId="581D1CEC" w14:textId="77777777" w:rsidR="009E6B8B" w:rsidRDefault="009E6B8B" w:rsidP="009E6B8B">
      <w:pPr>
        <w:keepNext/>
        <w:snapToGrid w:val="0"/>
        <w:spacing w:after="120"/>
        <w:contextualSpacing/>
        <w:jc w:val="center"/>
      </w:pPr>
      <w:r>
        <w:rPr>
          <w:noProof/>
          <w:sz w:val="22"/>
          <w:lang w:val="en-GB"/>
        </w:rPr>
        <w:drawing>
          <wp:inline distT="0" distB="0" distL="0" distR="0" wp14:anchorId="606A4002" wp14:editId="67268283">
            <wp:extent cx="4838700" cy="3227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47764" cy="3233695"/>
                    </a:xfrm>
                    <a:prstGeom prst="rect">
                      <a:avLst/>
                    </a:prstGeom>
                    <a:noFill/>
                  </pic:spPr>
                </pic:pic>
              </a:graphicData>
            </a:graphic>
          </wp:inline>
        </w:drawing>
      </w:r>
    </w:p>
    <w:p w14:paraId="4D60707E" w14:textId="18FB96B6" w:rsidR="009E6B8B" w:rsidRDefault="009E6B8B" w:rsidP="009E6B8B">
      <w:pPr>
        <w:pStyle w:val="Caption"/>
        <w:jc w:val="center"/>
        <w:rPr>
          <w:rFonts w:eastAsia="MS Mincho"/>
          <w:sz w:val="22"/>
          <w:lang w:val="en-GB"/>
        </w:rPr>
      </w:pPr>
      <w:r>
        <w:t xml:space="preserve">Figure </w:t>
      </w:r>
      <w:r>
        <w:fldChar w:fldCharType="begin"/>
      </w:r>
      <w:r>
        <w:instrText xml:space="preserve"> SEQ Figure \* ARABIC </w:instrText>
      </w:r>
      <w:r>
        <w:fldChar w:fldCharType="separate"/>
      </w:r>
      <w:r>
        <w:rPr>
          <w:noProof/>
        </w:rPr>
        <w:t>1</w:t>
      </w:r>
      <w:r>
        <w:fldChar w:fldCharType="end"/>
      </w:r>
      <w:r>
        <w:t xml:space="preserve">: </w:t>
      </w:r>
      <w:r>
        <w:t>Distribution of UL Grant Number Within a Slot</w:t>
      </w:r>
    </w:p>
    <w:p w14:paraId="37260198" w14:textId="298A0E5B" w:rsidR="009E6B8B" w:rsidRDefault="009E6B8B" w:rsidP="009E6B8B">
      <w:pPr>
        <w:snapToGrid w:val="0"/>
        <w:spacing w:after="120"/>
        <w:contextualSpacing/>
        <w:jc w:val="both"/>
        <w:rPr>
          <w:rFonts w:eastAsia="MS Mincho"/>
          <w:sz w:val="22"/>
          <w:lang w:val="en-GB"/>
        </w:rPr>
      </w:pPr>
    </w:p>
    <w:p w14:paraId="2A5C4567" w14:textId="7544A9E8" w:rsidR="00C7103E" w:rsidRDefault="00C7103E" w:rsidP="00C7103E">
      <w:pPr>
        <w:jc w:val="both"/>
        <w:rPr>
          <w:sz w:val="22"/>
          <w:lang w:val="en-GB"/>
        </w:rPr>
      </w:pPr>
      <w:r w:rsidRPr="0013444B">
        <w:rPr>
          <w:sz w:val="22"/>
          <w:lang w:val="en-GB"/>
        </w:rPr>
        <w:t>In such scenarios, we expect grant-free operation, possibl</w:t>
      </w:r>
      <w:r>
        <w:rPr>
          <w:sz w:val="22"/>
          <w:lang w:val="en-GB"/>
        </w:rPr>
        <w:t>y</w:t>
      </w:r>
      <w:r w:rsidRPr="0013444B">
        <w:rPr>
          <w:sz w:val="22"/>
          <w:lang w:val="en-GB"/>
        </w:rPr>
        <w:t xml:space="preserve"> combined with NOMA</w:t>
      </w:r>
      <w:r>
        <w:rPr>
          <w:sz w:val="22"/>
          <w:lang w:val="en-GB"/>
        </w:rPr>
        <w:t>, to provide</w:t>
      </w:r>
      <w:r w:rsidRPr="0013444B">
        <w:rPr>
          <w:sz w:val="22"/>
          <w:lang w:val="en-GB"/>
        </w:rPr>
        <w:t xml:space="preserve"> significant savings in the downlink control overhead. </w:t>
      </w:r>
      <w:r>
        <w:rPr>
          <w:sz w:val="22"/>
          <w:lang w:val="en-GB"/>
        </w:rPr>
        <w:t xml:space="preserve">Therefore, the evaluation of the benefits of </w:t>
      </w:r>
      <w:r w:rsidR="001164BC">
        <w:rPr>
          <w:sz w:val="22"/>
          <w:lang w:val="en-GB"/>
        </w:rPr>
        <w:t xml:space="preserve">NR </w:t>
      </w:r>
      <w:r>
        <w:rPr>
          <w:sz w:val="22"/>
          <w:lang w:val="en-GB"/>
        </w:rPr>
        <w:t>NOMA should consider the signalling overhead as one of the performance metrics.</w:t>
      </w:r>
    </w:p>
    <w:p w14:paraId="30557B26" w14:textId="427175AF" w:rsidR="009E6B8B" w:rsidRDefault="009E6B8B" w:rsidP="009E6B8B">
      <w:pPr>
        <w:snapToGrid w:val="0"/>
        <w:spacing w:after="120"/>
        <w:contextualSpacing/>
        <w:jc w:val="both"/>
        <w:rPr>
          <w:rFonts w:eastAsia="MS Mincho"/>
          <w:sz w:val="22"/>
          <w:lang w:val="en-GB"/>
        </w:rPr>
      </w:pPr>
    </w:p>
    <w:p w14:paraId="16578512" w14:textId="6A67CBA7" w:rsidR="009E6B8B" w:rsidRDefault="00601ACE" w:rsidP="00601ACE">
      <w:pPr>
        <w:pStyle w:val="Heading2"/>
      </w:pPr>
      <w:r>
        <w:t>Latency</w:t>
      </w:r>
    </w:p>
    <w:p w14:paraId="5E77448B" w14:textId="75C54CC2" w:rsidR="00601ACE" w:rsidRDefault="00601ACE" w:rsidP="00882BB8">
      <w:pPr>
        <w:jc w:val="both"/>
        <w:rPr>
          <w:sz w:val="22"/>
          <w:lang w:val="en-GB"/>
        </w:rPr>
      </w:pPr>
      <w:r>
        <w:rPr>
          <w:sz w:val="22"/>
          <w:lang w:val="en-GB"/>
        </w:rPr>
        <w:t xml:space="preserve">Besides signalling overhead, the other potential benefit of NR NOMA is to reduce the latency associated with waiting for the grant. To evaluate this aspect, the per-packet latency should be used as a performance metric, </w:t>
      </w:r>
      <w:r w:rsidRPr="00A75315">
        <w:rPr>
          <w:sz w:val="22"/>
          <w:lang w:val="en-GB"/>
        </w:rPr>
        <w:t>where the latency includes the time between the arrival of the packet at the UE and the successful decoding at the gNB. For grant-based schemes, the latency should include the waiting time for the next SR opportunity as well as the network-side and UE-side processing delay.</w:t>
      </w:r>
      <w:r>
        <w:rPr>
          <w:sz w:val="22"/>
          <w:lang w:val="en-GB"/>
        </w:rPr>
        <w:t xml:space="preserve"> For a TDD-based syst</w:t>
      </w:r>
      <w:r w:rsidR="001973BE">
        <w:rPr>
          <w:sz w:val="22"/>
          <w:lang w:val="en-GB"/>
        </w:rPr>
        <w:t xml:space="preserve">em, the uplink small </w:t>
      </w:r>
      <w:r>
        <w:rPr>
          <w:sz w:val="22"/>
          <w:lang w:val="en-GB"/>
        </w:rPr>
        <w:t>packet latency could be impacted by the TDD downlink uplink configuration used. The delay resulting from having to wait for the uplink opportunity should be taken into account.</w:t>
      </w:r>
    </w:p>
    <w:p w14:paraId="4A528FE8" w14:textId="3A8953A8" w:rsidR="004A489E" w:rsidRDefault="004A489E" w:rsidP="004A489E">
      <w:pPr>
        <w:snapToGrid w:val="0"/>
        <w:spacing w:before="100" w:beforeAutospacing="1" w:after="100" w:afterAutospacing="1"/>
        <w:contextualSpacing/>
        <w:jc w:val="both"/>
        <w:rPr>
          <w:sz w:val="22"/>
          <w:szCs w:val="22"/>
        </w:rPr>
      </w:pPr>
      <w:r>
        <w:rPr>
          <w:sz w:val="22"/>
          <w:szCs w:val="22"/>
        </w:rPr>
        <w:t xml:space="preserve">Since </w:t>
      </w:r>
      <w:r w:rsidRPr="004A489E">
        <w:rPr>
          <w:sz w:val="22"/>
          <w:szCs w:val="22"/>
        </w:rPr>
        <w:t xml:space="preserve">the primary motivation and major benefits for </w:t>
      </w:r>
      <w:r>
        <w:rPr>
          <w:sz w:val="22"/>
          <w:szCs w:val="22"/>
        </w:rPr>
        <w:t>NR NOMA is the saving on signaling overhead and latency, t</w:t>
      </w:r>
      <w:r w:rsidR="000D141D">
        <w:rPr>
          <w:sz w:val="22"/>
          <w:szCs w:val="22"/>
        </w:rPr>
        <w:t xml:space="preserve">he Tx/Rx design and evaluation for NR NOMA SI </w:t>
      </w:r>
      <w:r w:rsidRPr="00882BB8">
        <w:rPr>
          <w:sz w:val="22"/>
          <w:szCs w:val="22"/>
        </w:rPr>
        <w:t xml:space="preserve">should </w:t>
      </w:r>
      <w:r w:rsidR="000D141D">
        <w:rPr>
          <w:sz w:val="22"/>
          <w:szCs w:val="22"/>
        </w:rPr>
        <w:t>prioritize such</w:t>
      </w:r>
      <w:r w:rsidRPr="00882BB8">
        <w:rPr>
          <w:sz w:val="22"/>
          <w:szCs w:val="22"/>
        </w:rPr>
        <w:t xml:space="preserve"> diffe</w:t>
      </w:r>
      <w:r w:rsidR="000D141D">
        <w:rPr>
          <w:sz w:val="22"/>
          <w:szCs w:val="22"/>
        </w:rPr>
        <w:t>rentiator features and benefits. Therefore, we have the following proposal:</w:t>
      </w:r>
    </w:p>
    <w:p w14:paraId="415B1645" w14:textId="77777777" w:rsidR="000D141D" w:rsidRDefault="000D141D" w:rsidP="004A489E">
      <w:pPr>
        <w:snapToGrid w:val="0"/>
        <w:spacing w:before="100" w:beforeAutospacing="1" w:after="100" w:afterAutospacing="1"/>
        <w:contextualSpacing/>
        <w:jc w:val="both"/>
        <w:rPr>
          <w:sz w:val="22"/>
          <w:szCs w:val="22"/>
        </w:rPr>
      </w:pPr>
    </w:p>
    <w:p w14:paraId="73CC6E3A" w14:textId="77777777" w:rsidR="00882BB8" w:rsidRPr="00882BB8" w:rsidRDefault="00882BB8" w:rsidP="00882BB8">
      <w:pPr>
        <w:jc w:val="both"/>
        <w:rPr>
          <w:b/>
          <w:i/>
          <w:sz w:val="22"/>
          <w:szCs w:val="22"/>
          <w:lang w:eastAsia="zh-CN"/>
        </w:rPr>
      </w:pPr>
      <w:bookmarkStart w:id="2" w:name="_Hlk510809199"/>
      <w:r w:rsidRPr="00882BB8">
        <w:rPr>
          <w:b/>
          <w:i/>
          <w:sz w:val="22"/>
          <w:szCs w:val="22"/>
          <w:highlight w:val="yellow"/>
          <w:u w:val="single"/>
        </w:rPr>
        <w:t>Proposal 1:</w:t>
      </w:r>
      <w:r w:rsidRPr="00882BB8">
        <w:rPr>
          <w:b/>
          <w:i/>
          <w:sz w:val="22"/>
          <w:szCs w:val="22"/>
          <w:lang w:eastAsia="zh-CN"/>
        </w:rPr>
        <w:t xml:space="preserve">  </w:t>
      </w:r>
      <w:r w:rsidRPr="00882BB8">
        <w:rPr>
          <w:b/>
          <w:i/>
          <w:sz w:val="22"/>
          <w:lang w:val="en-GB" w:eastAsia="zh-CN"/>
        </w:rPr>
        <w:t xml:space="preserve">NR NOMA SI should prioritize the differentiator features and benefits of different operation modes. The Tx/Rx design, link and system level performance evaluations should consider the best trade-off among the following design objectives: </w:t>
      </w:r>
    </w:p>
    <w:p w14:paraId="04AD9EE2" w14:textId="77777777" w:rsidR="00882BB8" w:rsidRPr="00882BB8" w:rsidRDefault="00882BB8" w:rsidP="00882BB8">
      <w:pPr>
        <w:numPr>
          <w:ilvl w:val="0"/>
          <w:numId w:val="12"/>
        </w:numPr>
        <w:overflowPunct/>
        <w:autoSpaceDE/>
        <w:autoSpaceDN/>
        <w:adjustRightInd/>
        <w:snapToGrid w:val="0"/>
        <w:spacing w:after="100" w:afterAutospacing="1"/>
        <w:contextualSpacing/>
        <w:jc w:val="both"/>
        <w:textAlignment w:val="auto"/>
        <w:rPr>
          <w:rFonts w:eastAsia="Calibri"/>
          <w:b/>
          <w:i/>
          <w:sz w:val="22"/>
          <w:szCs w:val="22"/>
        </w:rPr>
      </w:pPr>
      <w:r w:rsidRPr="00882BB8">
        <w:rPr>
          <w:rFonts w:eastAsia="Calibri"/>
          <w:b/>
          <w:i/>
          <w:sz w:val="22"/>
          <w:szCs w:val="22"/>
          <w:lang w:val="en-GB" w:eastAsia="zh-CN"/>
        </w:rPr>
        <w:t>error performance</w:t>
      </w:r>
    </w:p>
    <w:p w14:paraId="13B508AA" w14:textId="77777777" w:rsidR="00882BB8" w:rsidRPr="00882BB8" w:rsidRDefault="00882BB8" w:rsidP="00882BB8">
      <w:pPr>
        <w:numPr>
          <w:ilvl w:val="1"/>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lang w:val="en-GB" w:eastAsia="zh-CN"/>
        </w:rPr>
        <w:t>conditioned on per UE SE and the number of multiplexing UEs</w:t>
      </w:r>
    </w:p>
    <w:p w14:paraId="231A1CF4" w14:textId="77777777" w:rsidR="00882BB8" w:rsidRPr="00882BB8" w:rsidRDefault="00882BB8" w:rsidP="00882BB8">
      <w:pPr>
        <w:numPr>
          <w:ilvl w:val="0"/>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lang w:eastAsia="zh-CN"/>
        </w:rPr>
        <w:t xml:space="preserve">sum throughput vs SNR for a given BLER target </w:t>
      </w:r>
    </w:p>
    <w:p w14:paraId="3BD58326" w14:textId="77777777" w:rsidR="00882BB8" w:rsidRPr="00882BB8" w:rsidRDefault="00882BB8" w:rsidP="00882BB8">
      <w:pPr>
        <w:numPr>
          <w:ilvl w:val="1"/>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lang w:eastAsia="zh-CN"/>
        </w:rPr>
        <w:t>conditioned on per UE SE and the number of multiplexing UEs</w:t>
      </w:r>
    </w:p>
    <w:p w14:paraId="09151FBA" w14:textId="77777777" w:rsidR="00882BB8" w:rsidRPr="00882BB8" w:rsidRDefault="00882BB8" w:rsidP="00882BB8">
      <w:pPr>
        <w:numPr>
          <w:ilvl w:val="0"/>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lang w:val="en-GB" w:eastAsia="zh-CN"/>
        </w:rPr>
        <w:t>scalability</w:t>
      </w:r>
    </w:p>
    <w:p w14:paraId="0A6ECAA9" w14:textId="77777777" w:rsidR="00882BB8" w:rsidRPr="00882BB8" w:rsidRDefault="00882BB8" w:rsidP="00882BB8">
      <w:pPr>
        <w:numPr>
          <w:ilvl w:val="1"/>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lang w:eastAsia="zh-CN"/>
        </w:rPr>
        <w:t>easy a</w:t>
      </w:r>
      <w:r w:rsidRPr="00882BB8">
        <w:rPr>
          <w:rFonts w:eastAsia="Calibri"/>
          <w:b/>
          <w:i/>
          <w:sz w:val="22"/>
          <w:szCs w:val="22"/>
          <w:lang w:val="en-GB" w:eastAsia="zh-CN"/>
        </w:rPr>
        <w:t>daptation of spreading codes configuration to accommodate N NOMA UEs with spreading factor K, where N and K can be configured dynamically</w:t>
      </w:r>
    </w:p>
    <w:p w14:paraId="57616FB0" w14:textId="77777777" w:rsidR="00882BB8" w:rsidRPr="00882BB8" w:rsidRDefault="00882BB8" w:rsidP="00882BB8">
      <w:pPr>
        <w:numPr>
          <w:ilvl w:val="0"/>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lang w:val="en-GB" w:eastAsia="zh-CN"/>
        </w:rPr>
        <w:t xml:space="preserve">transceiver complexity and latency </w:t>
      </w:r>
    </w:p>
    <w:p w14:paraId="500698EA" w14:textId="77777777" w:rsidR="00882BB8" w:rsidRPr="00882BB8" w:rsidRDefault="00882BB8" w:rsidP="00882BB8">
      <w:pPr>
        <w:numPr>
          <w:ilvl w:val="1"/>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lang w:val="en-GB" w:eastAsia="zh-CN"/>
        </w:rPr>
        <w:t>transmitter side</w:t>
      </w:r>
      <w:r w:rsidRPr="00882BB8">
        <w:rPr>
          <w:rFonts w:eastAsia="Calibri"/>
          <w:b/>
          <w:i/>
          <w:sz w:val="22"/>
          <w:szCs w:val="22"/>
          <w:lang w:eastAsia="zh-CN"/>
        </w:rPr>
        <w:t xml:space="preserve"> </w:t>
      </w:r>
      <w:r w:rsidRPr="00882BB8">
        <w:rPr>
          <w:rFonts w:eastAsia="Calibri"/>
          <w:b/>
          <w:i/>
          <w:sz w:val="22"/>
          <w:szCs w:val="22"/>
          <w:lang w:val="en-GB" w:eastAsia="zh-CN"/>
        </w:rPr>
        <w:t>and receiver side processing, including computation and memory requirements for successful data decoding</w:t>
      </w:r>
    </w:p>
    <w:p w14:paraId="28252B04" w14:textId="77777777" w:rsidR="00882BB8" w:rsidRPr="00882BB8" w:rsidRDefault="00882BB8" w:rsidP="00882BB8">
      <w:pPr>
        <w:numPr>
          <w:ilvl w:val="1"/>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lang w:val="en-GB" w:eastAsia="zh-CN"/>
        </w:rPr>
        <w:t xml:space="preserve">latency of advanced receiver </w:t>
      </w:r>
    </w:p>
    <w:p w14:paraId="34F00269" w14:textId="77777777" w:rsidR="00882BB8" w:rsidRPr="00882BB8" w:rsidRDefault="00882BB8" w:rsidP="00882BB8">
      <w:pPr>
        <w:numPr>
          <w:ilvl w:val="0"/>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rPr>
        <w:t>flexibility</w:t>
      </w:r>
    </w:p>
    <w:p w14:paraId="76993455" w14:textId="77777777" w:rsidR="00882BB8" w:rsidRPr="00882BB8" w:rsidRDefault="00882BB8" w:rsidP="00882BB8">
      <w:pPr>
        <w:numPr>
          <w:ilvl w:val="1"/>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rPr>
        <w:t>joint support of DFT-s-OFDM waveform and CP-OFDM waveform</w:t>
      </w:r>
    </w:p>
    <w:p w14:paraId="6E7997F0" w14:textId="77777777" w:rsidR="00882BB8" w:rsidRPr="00882BB8" w:rsidRDefault="00882BB8" w:rsidP="00882BB8">
      <w:pPr>
        <w:numPr>
          <w:ilvl w:val="1"/>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rPr>
        <w:t>joint support for different operation modes and use cases</w:t>
      </w:r>
    </w:p>
    <w:p w14:paraId="2AFCC44C" w14:textId="49C6C427" w:rsidR="00601ACE" w:rsidRPr="004A489E" w:rsidRDefault="00882BB8" w:rsidP="004A489E">
      <w:pPr>
        <w:numPr>
          <w:ilvl w:val="0"/>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4A489E">
        <w:rPr>
          <w:rFonts w:eastAsia="Calibri"/>
          <w:b/>
          <w:i/>
          <w:sz w:val="22"/>
          <w:szCs w:val="22"/>
        </w:rPr>
        <w:t>PAPR and ACLR</w:t>
      </w:r>
    </w:p>
    <w:bookmarkEnd w:id="2"/>
    <w:p w14:paraId="1962423B" w14:textId="77777777" w:rsidR="005F5060" w:rsidRPr="00AD1849" w:rsidRDefault="005F5060" w:rsidP="005F5060">
      <w:pPr>
        <w:snapToGrid w:val="0"/>
        <w:spacing w:before="100" w:beforeAutospacing="1" w:after="100" w:afterAutospacing="1"/>
        <w:contextualSpacing/>
        <w:jc w:val="both"/>
        <w:rPr>
          <w:b/>
        </w:rPr>
      </w:pPr>
    </w:p>
    <w:p w14:paraId="13BEB996" w14:textId="17F707FD" w:rsidR="00635ED0" w:rsidRDefault="00635ED0" w:rsidP="00BE3984">
      <w:pPr>
        <w:pStyle w:val="Heading1"/>
        <w:rPr>
          <w:lang w:eastAsia="zh-CN"/>
        </w:rPr>
      </w:pPr>
      <w:r>
        <w:rPr>
          <w:lang w:eastAsia="zh-CN"/>
        </w:rPr>
        <w:t>Grant-based NOMA UL</w:t>
      </w:r>
    </w:p>
    <w:p w14:paraId="6E8FAA40" w14:textId="3995DE71" w:rsidR="00FD421F" w:rsidRPr="00FD421F" w:rsidRDefault="00775E8B" w:rsidP="00E57B64">
      <w:pPr>
        <w:jc w:val="both"/>
        <w:rPr>
          <w:sz w:val="22"/>
          <w:lang w:val="en-GB" w:eastAsia="zh-CN"/>
        </w:rPr>
      </w:pPr>
      <w:r>
        <w:rPr>
          <w:sz w:val="22"/>
          <w:lang w:val="en-GB" w:eastAsia="zh-CN"/>
        </w:rPr>
        <w:t xml:space="preserve">For </w:t>
      </w:r>
      <w:r w:rsidR="00FD421F" w:rsidRPr="00FD421F">
        <w:rPr>
          <w:sz w:val="22"/>
          <w:lang w:val="en-GB" w:eastAsia="zh-CN"/>
        </w:rPr>
        <w:t xml:space="preserve">grant-based NOMA, the </w:t>
      </w:r>
      <w:r w:rsidR="00FD421F">
        <w:rPr>
          <w:sz w:val="22"/>
          <w:lang w:val="en-GB" w:eastAsia="zh-CN"/>
        </w:rPr>
        <w:t xml:space="preserve">UL </w:t>
      </w:r>
      <w:r w:rsidR="009C7ABD">
        <w:rPr>
          <w:sz w:val="22"/>
          <w:lang w:val="en-GB" w:eastAsia="zh-CN"/>
        </w:rPr>
        <w:t xml:space="preserve">data </w:t>
      </w:r>
      <w:r w:rsidR="00FD421F">
        <w:rPr>
          <w:sz w:val="22"/>
          <w:lang w:val="en-GB" w:eastAsia="zh-CN"/>
        </w:rPr>
        <w:t xml:space="preserve">transmission </w:t>
      </w:r>
      <w:r w:rsidR="00FD421F" w:rsidRPr="00FD421F">
        <w:rPr>
          <w:sz w:val="22"/>
          <w:lang w:val="en-GB" w:eastAsia="zh-CN"/>
        </w:rPr>
        <w:t>is collision based, an</w:t>
      </w:r>
      <w:r w:rsidR="00FD421F">
        <w:rPr>
          <w:sz w:val="22"/>
          <w:lang w:val="en-GB" w:eastAsia="zh-CN"/>
        </w:rPr>
        <w:t xml:space="preserve">d the pattern of collision is </w:t>
      </w:r>
      <w:r w:rsidR="00FD421F" w:rsidRPr="00FD421F">
        <w:rPr>
          <w:sz w:val="22"/>
          <w:lang w:val="en-GB" w:eastAsia="zh-CN"/>
        </w:rPr>
        <w:t>kno</w:t>
      </w:r>
      <w:r w:rsidR="00FD421F">
        <w:rPr>
          <w:sz w:val="22"/>
          <w:lang w:val="en-GB" w:eastAsia="zh-CN"/>
        </w:rPr>
        <w:t>wn to gNB. Therefore, gNB does not need to</w:t>
      </w:r>
      <w:r w:rsidR="00FD421F" w:rsidRPr="00FD421F">
        <w:rPr>
          <w:sz w:val="22"/>
          <w:lang w:val="en-GB" w:eastAsia="zh-CN"/>
        </w:rPr>
        <w:t xml:space="preserve"> perform blind detect</w:t>
      </w:r>
      <w:r w:rsidR="00FD421F">
        <w:rPr>
          <w:sz w:val="22"/>
          <w:lang w:val="en-GB" w:eastAsia="zh-CN"/>
        </w:rPr>
        <w:t xml:space="preserve">ion to discover the UE activity. On the other hand, the UL DMRS transmission can be collision based or collision free. To obtain </w:t>
      </w:r>
      <w:r w:rsidR="00E57B64">
        <w:rPr>
          <w:sz w:val="22"/>
          <w:lang w:val="en-GB" w:eastAsia="zh-CN"/>
        </w:rPr>
        <w:t xml:space="preserve">low complexity and reliable </w:t>
      </w:r>
      <w:r w:rsidR="00FD421F">
        <w:rPr>
          <w:sz w:val="22"/>
          <w:lang w:val="en-GB" w:eastAsia="zh-CN"/>
        </w:rPr>
        <w:t xml:space="preserve">channel estimation, orthogonal transmission of DMRS is preferred. To </w:t>
      </w:r>
      <w:r w:rsidR="00E57B64">
        <w:rPr>
          <w:sz w:val="22"/>
          <w:lang w:val="en-GB" w:eastAsia="zh-CN"/>
        </w:rPr>
        <w:t xml:space="preserve">accommodate for more NOMA UEs, </w:t>
      </w:r>
      <w:r w:rsidR="00FD421F">
        <w:rPr>
          <w:sz w:val="22"/>
          <w:lang w:val="en-GB" w:eastAsia="zh-CN"/>
        </w:rPr>
        <w:t>larger overhead of DMRS can be supported.</w:t>
      </w:r>
    </w:p>
    <w:p w14:paraId="7FD7E4CA" w14:textId="4DE5586E" w:rsidR="00635ED0" w:rsidRDefault="002C295D" w:rsidP="00635ED0">
      <w:pPr>
        <w:pStyle w:val="Heading2"/>
        <w:rPr>
          <w:lang w:eastAsia="zh-CN"/>
        </w:rPr>
      </w:pPr>
      <w:r>
        <w:rPr>
          <w:lang w:eastAsia="zh-CN"/>
        </w:rPr>
        <w:t xml:space="preserve">gNB </w:t>
      </w:r>
      <w:r w:rsidR="006F4FD3">
        <w:rPr>
          <w:lang w:eastAsia="zh-CN"/>
        </w:rPr>
        <w:t>Assignme</w:t>
      </w:r>
      <w:r>
        <w:rPr>
          <w:lang w:eastAsia="zh-CN"/>
        </w:rPr>
        <w:t>nt of Linear Hybrid Spreading</w:t>
      </w:r>
    </w:p>
    <w:p w14:paraId="5C6D24D7" w14:textId="4EEECFB6" w:rsidR="003D241A" w:rsidRDefault="006E2323" w:rsidP="00A1232B">
      <w:pPr>
        <w:jc w:val="both"/>
        <w:rPr>
          <w:sz w:val="22"/>
          <w:lang w:val="en-GB" w:eastAsia="zh-CN"/>
        </w:rPr>
      </w:pPr>
      <w:r w:rsidRPr="009E51D7">
        <w:rPr>
          <w:sz w:val="22"/>
          <w:lang w:val="en-GB" w:eastAsia="zh-CN"/>
        </w:rPr>
        <w:t>For grant based transmission</w:t>
      </w:r>
      <w:r w:rsidR="00E1579E">
        <w:rPr>
          <w:sz w:val="22"/>
          <w:lang w:val="en-GB" w:eastAsia="zh-CN"/>
        </w:rPr>
        <w:t xml:space="preserve"> of NOMA</w:t>
      </w:r>
      <w:r w:rsidRPr="009E51D7">
        <w:rPr>
          <w:sz w:val="22"/>
          <w:lang w:val="en-GB" w:eastAsia="zh-CN"/>
        </w:rPr>
        <w:t xml:space="preserve">, </w:t>
      </w:r>
      <w:r w:rsidR="009E51D7">
        <w:rPr>
          <w:sz w:val="22"/>
          <w:lang w:val="en-GB" w:eastAsia="zh-CN"/>
        </w:rPr>
        <w:t xml:space="preserve">gNB </w:t>
      </w:r>
      <w:r w:rsidR="002C72BE">
        <w:rPr>
          <w:sz w:val="22"/>
          <w:lang w:val="en-GB" w:eastAsia="zh-CN"/>
        </w:rPr>
        <w:t xml:space="preserve">schedules </w:t>
      </w:r>
      <w:r w:rsidR="00504987" w:rsidRPr="00504987">
        <w:rPr>
          <w:i/>
          <w:sz w:val="22"/>
          <w:lang w:val="en-GB" w:eastAsia="zh-CN"/>
        </w:rPr>
        <w:t>N</w:t>
      </w:r>
      <w:r w:rsidR="00504987">
        <w:rPr>
          <w:sz w:val="22"/>
          <w:lang w:val="en-GB" w:eastAsia="zh-CN"/>
        </w:rPr>
        <w:t xml:space="preserve"> UEs to share </w:t>
      </w:r>
      <w:r w:rsidR="00504987" w:rsidRPr="00504987">
        <w:rPr>
          <w:i/>
          <w:sz w:val="22"/>
          <w:lang w:val="en-GB" w:eastAsia="zh-CN"/>
        </w:rPr>
        <w:t>K</w:t>
      </w:r>
      <w:r w:rsidR="00504987">
        <w:rPr>
          <w:sz w:val="22"/>
          <w:lang w:val="en-GB" w:eastAsia="zh-CN"/>
        </w:rPr>
        <w:t xml:space="preserve"> resource units (</w:t>
      </w:r>
      <w:r w:rsidR="00504987" w:rsidRPr="00504987">
        <w:rPr>
          <w:i/>
          <w:sz w:val="22"/>
          <w:lang w:val="en-GB" w:eastAsia="zh-CN"/>
        </w:rPr>
        <w:t>N</w:t>
      </w:r>
      <w:r w:rsidR="00504987">
        <w:rPr>
          <w:sz w:val="22"/>
          <w:lang w:val="en-GB" w:eastAsia="zh-CN"/>
        </w:rPr>
        <w:t>&gt;</w:t>
      </w:r>
      <w:r w:rsidR="00504987" w:rsidRPr="00504987">
        <w:rPr>
          <w:i/>
          <w:sz w:val="22"/>
          <w:lang w:val="en-GB" w:eastAsia="zh-CN"/>
        </w:rPr>
        <w:t>K</w:t>
      </w:r>
      <w:r w:rsidR="003432B4">
        <w:rPr>
          <w:sz w:val="22"/>
          <w:lang w:val="en-GB" w:eastAsia="zh-CN"/>
        </w:rPr>
        <w:t xml:space="preserve">), and signals the assignment of spreading code, </w:t>
      </w:r>
      <w:r w:rsidR="00BC2AFF">
        <w:rPr>
          <w:sz w:val="22"/>
          <w:lang w:val="en-GB" w:eastAsia="zh-CN"/>
        </w:rPr>
        <w:t>scrambling codes</w:t>
      </w:r>
      <w:r w:rsidR="00A1232B">
        <w:rPr>
          <w:sz w:val="22"/>
          <w:lang w:val="en-GB" w:eastAsia="zh-CN"/>
        </w:rPr>
        <w:t xml:space="preserve">, </w:t>
      </w:r>
      <w:r w:rsidR="003432B4">
        <w:rPr>
          <w:sz w:val="22"/>
          <w:lang w:val="en-GB" w:eastAsia="zh-CN"/>
        </w:rPr>
        <w:t>time/frequency resources and MCS to UE. Such scheduling information can be dynamically signalled to UE by PDCCH</w:t>
      </w:r>
      <w:r w:rsidR="001C2ECB">
        <w:rPr>
          <w:sz w:val="22"/>
          <w:lang w:val="en-GB" w:eastAsia="zh-CN"/>
        </w:rPr>
        <w:t>, or semi-persistently configured</w:t>
      </w:r>
      <w:r w:rsidR="003432B4">
        <w:rPr>
          <w:sz w:val="22"/>
          <w:lang w:val="en-GB" w:eastAsia="zh-CN"/>
        </w:rPr>
        <w:t xml:space="preserve"> by RRC. </w:t>
      </w:r>
      <w:r w:rsidR="00A1232B">
        <w:rPr>
          <w:sz w:val="22"/>
          <w:lang w:val="en-GB" w:eastAsia="zh-CN"/>
        </w:rPr>
        <w:t xml:space="preserve">Since the optimized spreading codebook has a closed-form description, its signalling overhead is small. </w:t>
      </w:r>
      <w:r w:rsidR="00624F7A">
        <w:rPr>
          <w:sz w:val="22"/>
          <w:lang w:val="en-GB" w:eastAsia="zh-CN"/>
        </w:rPr>
        <w:t xml:space="preserve">In addition, the </w:t>
      </w:r>
      <w:r w:rsidR="00BC2AFF">
        <w:rPr>
          <w:sz w:val="22"/>
          <w:lang w:val="en-GB" w:eastAsia="zh-CN"/>
        </w:rPr>
        <w:t>scrambling codes</w:t>
      </w:r>
      <w:r w:rsidR="00624F7A">
        <w:rPr>
          <w:sz w:val="22"/>
          <w:lang w:val="en-GB" w:eastAsia="zh-CN"/>
        </w:rPr>
        <w:t xml:space="preserve"> can be chosen from </w:t>
      </w:r>
      <w:r w:rsidR="00B230B0">
        <w:rPr>
          <w:sz w:val="22"/>
          <w:lang w:val="en-GB" w:eastAsia="zh-CN"/>
        </w:rPr>
        <w:t xml:space="preserve">Gold sequences compatible with Rel-15 NR specification and CAZAC and </w:t>
      </w:r>
      <w:r w:rsidR="00624F7A">
        <w:rPr>
          <w:sz w:val="22"/>
          <w:lang w:val="en-GB" w:eastAsia="zh-CN"/>
        </w:rPr>
        <w:t>sequences</w:t>
      </w:r>
      <w:r w:rsidR="0060513A">
        <w:rPr>
          <w:sz w:val="22"/>
          <w:lang w:val="en-GB" w:eastAsia="zh-CN"/>
        </w:rPr>
        <w:t xml:space="preserve">, which can be UE-specific or cell-specific. Similar to the spreading code, the </w:t>
      </w:r>
      <w:r w:rsidR="00624F7A">
        <w:rPr>
          <w:sz w:val="22"/>
          <w:lang w:val="en-GB" w:eastAsia="zh-CN"/>
        </w:rPr>
        <w:t>compact description</w:t>
      </w:r>
      <w:r w:rsidR="0060513A">
        <w:rPr>
          <w:sz w:val="22"/>
          <w:lang w:val="en-GB" w:eastAsia="zh-CN"/>
        </w:rPr>
        <w:t xml:space="preserve"> of </w:t>
      </w:r>
      <w:r w:rsidR="00BC2AFF">
        <w:rPr>
          <w:sz w:val="22"/>
          <w:lang w:val="en-GB" w:eastAsia="zh-CN"/>
        </w:rPr>
        <w:t>scrambling codes</w:t>
      </w:r>
      <w:r w:rsidR="00624F7A">
        <w:rPr>
          <w:sz w:val="22"/>
          <w:lang w:val="en-GB" w:eastAsia="zh-CN"/>
        </w:rPr>
        <w:t xml:space="preserve"> is also beneficial for light-weight signalling </w:t>
      </w:r>
      <w:r w:rsidR="00A117A5">
        <w:rPr>
          <w:sz w:val="22"/>
          <w:lang w:val="en-GB" w:eastAsia="zh-CN"/>
        </w:rPr>
        <w:t>and scalable NOMA operation</w:t>
      </w:r>
      <w:r w:rsidR="00624F7A">
        <w:rPr>
          <w:sz w:val="22"/>
          <w:lang w:val="en-GB" w:eastAsia="zh-CN"/>
        </w:rPr>
        <w:t>.</w:t>
      </w:r>
      <w:r w:rsidR="003D241A">
        <w:rPr>
          <w:sz w:val="22"/>
          <w:lang w:val="en-GB" w:eastAsia="zh-CN"/>
        </w:rPr>
        <w:t xml:space="preserve"> To simplify inter-cell interference management for NOMA, both spreading code and </w:t>
      </w:r>
      <w:r w:rsidR="007C0AAA">
        <w:rPr>
          <w:sz w:val="22"/>
          <w:lang w:val="en-GB" w:eastAsia="zh-CN"/>
        </w:rPr>
        <w:t>scrambling codes</w:t>
      </w:r>
      <w:r w:rsidR="003D241A">
        <w:rPr>
          <w:sz w:val="22"/>
          <w:lang w:val="en-GB" w:eastAsia="zh-CN"/>
        </w:rPr>
        <w:t xml:space="preserve"> can be made symbol-dependent. </w:t>
      </w:r>
    </w:p>
    <w:p w14:paraId="039A581F" w14:textId="5931894D" w:rsidR="003432B4" w:rsidRDefault="00624F7A" w:rsidP="00A1232B">
      <w:pPr>
        <w:jc w:val="both"/>
        <w:rPr>
          <w:sz w:val="22"/>
          <w:lang w:val="en-GB" w:eastAsia="zh-CN"/>
        </w:rPr>
      </w:pPr>
      <w:r>
        <w:rPr>
          <w:sz w:val="22"/>
          <w:lang w:val="en-GB" w:eastAsia="zh-CN"/>
        </w:rPr>
        <w:t>Therefore, we propose the following:</w:t>
      </w:r>
    </w:p>
    <w:p w14:paraId="083C74F8" w14:textId="15E1FEC3" w:rsidR="0060513A" w:rsidRPr="0066423E" w:rsidRDefault="00624F7A" w:rsidP="0066423E">
      <w:pPr>
        <w:jc w:val="both"/>
        <w:rPr>
          <w:b/>
          <w:i/>
          <w:sz w:val="22"/>
          <w:lang w:val="en-GB" w:eastAsia="zh-CN"/>
        </w:rPr>
      </w:pPr>
      <w:r w:rsidRPr="00624F7A">
        <w:rPr>
          <w:b/>
          <w:i/>
          <w:sz w:val="22"/>
          <w:highlight w:val="yellow"/>
          <w:u w:val="single"/>
          <w:lang w:val="en-GB" w:eastAsia="zh-CN"/>
        </w:rPr>
        <w:t xml:space="preserve">Proposal </w:t>
      </w:r>
      <w:r w:rsidR="00B60530">
        <w:rPr>
          <w:b/>
          <w:i/>
          <w:sz w:val="22"/>
          <w:highlight w:val="yellow"/>
          <w:u w:val="single"/>
          <w:lang w:val="en-GB" w:eastAsia="zh-CN"/>
        </w:rPr>
        <w:t>2</w:t>
      </w:r>
      <w:r w:rsidRPr="00624F7A">
        <w:rPr>
          <w:b/>
          <w:sz w:val="22"/>
          <w:lang w:val="en-GB" w:eastAsia="zh-CN"/>
        </w:rPr>
        <w:t>:</w:t>
      </w:r>
      <w:r>
        <w:rPr>
          <w:sz w:val="22"/>
          <w:lang w:val="en-GB" w:eastAsia="zh-CN"/>
        </w:rPr>
        <w:t xml:space="preserve"> </w:t>
      </w:r>
      <w:r w:rsidRPr="00624F7A">
        <w:rPr>
          <w:b/>
          <w:i/>
          <w:sz w:val="22"/>
          <w:lang w:val="en-GB" w:eastAsia="zh-CN"/>
        </w:rPr>
        <w:t xml:space="preserve">For grant-based NOMA UL, </w:t>
      </w:r>
      <w:r w:rsidR="00E94F76">
        <w:rPr>
          <w:b/>
          <w:i/>
          <w:sz w:val="22"/>
          <w:lang w:val="en-GB" w:eastAsia="zh-CN"/>
        </w:rPr>
        <w:t xml:space="preserve">multi-layer </w:t>
      </w:r>
      <w:r w:rsidR="00A0738B">
        <w:rPr>
          <w:b/>
          <w:i/>
          <w:sz w:val="22"/>
          <w:lang w:val="en-GB" w:eastAsia="zh-CN"/>
        </w:rPr>
        <w:t>linear hybrid</w:t>
      </w:r>
      <w:r w:rsidR="00C73001">
        <w:rPr>
          <w:b/>
          <w:i/>
          <w:sz w:val="22"/>
          <w:lang w:val="en-GB" w:eastAsia="zh-CN"/>
        </w:rPr>
        <w:t xml:space="preserve"> spreading</w:t>
      </w:r>
      <w:r w:rsidR="00B60530">
        <w:rPr>
          <w:b/>
          <w:i/>
          <w:sz w:val="22"/>
          <w:lang w:val="en-GB" w:eastAsia="zh-CN"/>
        </w:rPr>
        <w:t xml:space="preserve"> and scrambling</w:t>
      </w:r>
      <w:r w:rsidR="0066423E">
        <w:rPr>
          <w:b/>
          <w:i/>
          <w:sz w:val="22"/>
          <w:lang w:val="en-GB" w:eastAsia="zh-CN"/>
        </w:rPr>
        <w:t xml:space="preserve"> scheme needs to be considered</w:t>
      </w:r>
      <w:r w:rsidR="00E94F76">
        <w:rPr>
          <w:b/>
          <w:i/>
          <w:sz w:val="22"/>
          <w:lang w:val="en-GB" w:eastAsia="zh-CN"/>
        </w:rPr>
        <w:t xml:space="preserve">. The assignment of </w:t>
      </w:r>
      <w:r w:rsidR="00A0738B">
        <w:rPr>
          <w:b/>
          <w:i/>
          <w:sz w:val="22"/>
          <w:lang w:val="en-GB" w:eastAsia="zh-CN"/>
        </w:rPr>
        <w:t xml:space="preserve">spreading codes, </w:t>
      </w:r>
      <w:r w:rsidR="00BC2AFF">
        <w:rPr>
          <w:b/>
          <w:i/>
          <w:sz w:val="22"/>
          <w:lang w:val="en-GB" w:eastAsia="zh-CN"/>
        </w:rPr>
        <w:t>scrambling codes</w:t>
      </w:r>
      <w:r w:rsidR="00A0738B">
        <w:rPr>
          <w:b/>
          <w:i/>
          <w:sz w:val="22"/>
          <w:lang w:val="en-GB" w:eastAsia="zh-CN"/>
        </w:rPr>
        <w:t>, time/frequency resources and MCS can be dynamically signalled to UE by PDCCH, or semi-persistently configured by RRC.</w:t>
      </w:r>
    </w:p>
    <w:p w14:paraId="29B49F7B" w14:textId="1912C37A" w:rsidR="00504987" w:rsidRDefault="00B60530" w:rsidP="006E2323">
      <w:pPr>
        <w:rPr>
          <w:b/>
          <w:i/>
          <w:sz w:val="22"/>
          <w:lang w:val="en-GB" w:eastAsia="zh-CN"/>
        </w:rPr>
      </w:pPr>
      <w:r>
        <w:rPr>
          <w:b/>
          <w:i/>
          <w:sz w:val="22"/>
          <w:highlight w:val="yellow"/>
          <w:u w:val="single"/>
          <w:lang w:val="en-GB" w:eastAsia="zh-CN"/>
        </w:rPr>
        <w:t>Proposal 3</w:t>
      </w:r>
      <w:r w:rsidR="00C73001" w:rsidRPr="00C73001">
        <w:rPr>
          <w:b/>
          <w:i/>
          <w:sz w:val="22"/>
          <w:highlight w:val="yellow"/>
          <w:u w:val="single"/>
          <w:lang w:val="en-GB" w:eastAsia="zh-CN"/>
        </w:rPr>
        <w:t>:</w:t>
      </w:r>
      <w:r w:rsidR="00C73001" w:rsidRPr="00C055C7">
        <w:rPr>
          <w:b/>
          <w:i/>
          <w:sz w:val="22"/>
          <w:lang w:val="en-GB" w:eastAsia="zh-CN"/>
        </w:rPr>
        <w:t xml:space="preserve">  </w:t>
      </w:r>
      <w:r w:rsidR="00C055C7" w:rsidRPr="00C055C7">
        <w:rPr>
          <w:b/>
          <w:i/>
          <w:sz w:val="22"/>
          <w:lang w:val="en-GB" w:eastAsia="zh-CN"/>
        </w:rPr>
        <w:t>For grant-based NOMA UL,</w:t>
      </w:r>
      <w:r w:rsidR="00C055C7" w:rsidRPr="0060513A">
        <w:rPr>
          <w:b/>
          <w:i/>
          <w:sz w:val="22"/>
          <w:lang w:val="en-GB" w:eastAsia="zh-CN"/>
        </w:rPr>
        <w:t xml:space="preserve"> </w:t>
      </w:r>
      <w:r w:rsidR="0060513A">
        <w:rPr>
          <w:b/>
          <w:i/>
          <w:sz w:val="22"/>
          <w:lang w:val="en-GB" w:eastAsia="zh-CN"/>
        </w:rPr>
        <w:t xml:space="preserve">the </w:t>
      </w:r>
      <w:r w:rsidR="007C0AAA">
        <w:rPr>
          <w:b/>
          <w:i/>
          <w:sz w:val="22"/>
          <w:lang w:val="en-GB" w:eastAsia="zh-CN"/>
        </w:rPr>
        <w:t>scrambling codes</w:t>
      </w:r>
      <w:r w:rsidR="0060513A">
        <w:rPr>
          <w:b/>
          <w:i/>
          <w:sz w:val="22"/>
          <w:lang w:val="en-GB" w:eastAsia="zh-CN"/>
        </w:rPr>
        <w:t xml:space="preserve"> can </w:t>
      </w:r>
      <w:r w:rsidR="00926575">
        <w:rPr>
          <w:b/>
          <w:i/>
          <w:sz w:val="22"/>
          <w:lang w:val="en-GB" w:eastAsia="zh-CN"/>
        </w:rPr>
        <w:t>be cell-specific or UE-specific.</w:t>
      </w:r>
    </w:p>
    <w:p w14:paraId="6F56A90D" w14:textId="28B3FD73" w:rsidR="00926575" w:rsidRPr="00B132FE" w:rsidRDefault="00E94F76" w:rsidP="006E2323">
      <w:pPr>
        <w:rPr>
          <w:b/>
          <w:i/>
          <w:sz w:val="22"/>
          <w:lang w:val="en-GB" w:eastAsia="zh-CN"/>
        </w:rPr>
      </w:pPr>
      <w:r>
        <w:rPr>
          <w:b/>
          <w:i/>
          <w:sz w:val="22"/>
          <w:highlight w:val="yellow"/>
          <w:u w:val="single"/>
          <w:lang w:val="en-GB" w:eastAsia="zh-CN"/>
        </w:rPr>
        <w:t>Proposal 4</w:t>
      </w:r>
      <w:r w:rsidR="00926575" w:rsidRPr="00C73001">
        <w:rPr>
          <w:b/>
          <w:i/>
          <w:sz w:val="22"/>
          <w:highlight w:val="yellow"/>
          <w:u w:val="single"/>
          <w:lang w:val="en-GB" w:eastAsia="zh-CN"/>
        </w:rPr>
        <w:t>:</w:t>
      </w:r>
      <w:r w:rsidR="00926575" w:rsidRPr="00C055C7">
        <w:rPr>
          <w:b/>
          <w:i/>
          <w:sz w:val="22"/>
          <w:lang w:val="en-GB" w:eastAsia="zh-CN"/>
        </w:rPr>
        <w:t xml:space="preserve">  For grant-based NOMA UL,</w:t>
      </w:r>
      <w:r w:rsidR="00926575" w:rsidRPr="0060513A">
        <w:rPr>
          <w:b/>
          <w:i/>
          <w:sz w:val="22"/>
          <w:lang w:val="en-GB" w:eastAsia="zh-CN"/>
        </w:rPr>
        <w:t xml:space="preserve"> </w:t>
      </w:r>
      <w:r w:rsidR="00926575">
        <w:rPr>
          <w:b/>
          <w:i/>
          <w:sz w:val="22"/>
          <w:lang w:val="en-GB" w:eastAsia="zh-CN"/>
        </w:rPr>
        <w:t xml:space="preserve">the </w:t>
      </w:r>
      <w:r w:rsidR="0013272A">
        <w:rPr>
          <w:b/>
          <w:i/>
          <w:sz w:val="22"/>
          <w:lang w:val="en-GB" w:eastAsia="zh-CN"/>
        </w:rPr>
        <w:t xml:space="preserve">assignment of spreading codes and </w:t>
      </w:r>
      <w:r w:rsidR="007C0AAA">
        <w:rPr>
          <w:b/>
          <w:i/>
          <w:sz w:val="22"/>
          <w:lang w:val="en-GB" w:eastAsia="zh-CN"/>
        </w:rPr>
        <w:t>scrambling codes</w:t>
      </w:r>
      <w:r w:rsidR="0013272A">
        <w:rPr>
          <w:b/>
          <w:i/>
          <w:sz w:val="22"/>
          <w:lang w:val="en-GB" w:eastAsia="zh-CN"/>
        </w:rPr>
        <w:t xml:space="preserve"> can be symbol dependent. </w:t>
      </w:r>
    </w:p>
    <w:p w14:paraId="41D399B5" w14:textId="77777777" w:rsidR="00C055C7" w:rsidRPr="00C73001" w:rsidRDefault="00C055C7" w:rsidP="006E2323">
      <w:pPr>
        <w:rPr>
          <w:b/>
          <w:i/>
          <w:sz w:val="22"/>
          <w:lang w:val="en-GB" w:eastAsia="zh-CN"/>
        </w:rPr>
      </w:pPr>
    </w:p>
    <w:p w14:paraId="42CB6A9A" w14:textId="2EF9F42E" w:rsidR="00635ED0" w:rsidRDefault="002C295D" w:rsidP="00635ED0">
      <w:pPr>
        <w:pStyle w:val="Heading2"/>
      </w:pPr>
      <w:r>
        <w:t xml:space="preserve">gNB </w:t>
      </w:r>
      <w:r w:rsidR="00635ED0">
        <w:t>Assignment of DMRS Sequences</w:t>
      </w:r>
    </w:p>
    <w:p w14:paraId="6D3D195A" w14:textId="240F3226" w:rsidR="002219B6" w:rsidRDefault="0066670B" w:rsidP="00427C8F">
      <w:pPr>
        <w:jc w:val="both"/>
        <w:rPr>
          <w:sz w:val="22"/>
          <w:lang w:val="en-GB" w:eastAsia="zh-CN"/>
        </w:rPr>
      </w:pPr>
      <w:r w:rsidRPr="009E51D7">
        <w:rPr>
          <w:sz w:val="22"/>
          <w:lang w:val="en-GB" w:eastAsia="zh-CN"/>
        </w:rPr>
        <w:t>For</w:t>
      </w:r>
      <w:r w:rsidR="00E1579E">
        <w:rPr>
          <w:sz w:val="22"/>
          <w:lang w:val="en-GB" w:eastAsia="zh-CN"/>
        </w:rPr>
        <w:t xml:space="preserve"> grant based transmission of NOMA, the DMRS sequence assignment is determined by UE. </w:t>
      </w:r>
      <w:r w:rsidR="00427C8F">
        <w:rPr>
          <w:sz w:val="22"/>
          <w:lang w:val="en-GB" w:eastAsia="zh-CN"/>
        </w:rPr>
        <w:t>Depending on the overloading ratio of NOMA UE, both orthogonal and non-orthogonal DMRS transmission can be supported.</w:t>
      </w:r>
      <w:r w:rsidR="002219B6">
        <w:rPr>
          <w:sz w:val="22"/>
          <w:lang w:val="en-GB" w:eastAsia="zh-CN"/>
        </w:rPr>
        <w:t xml:space="preserve"> In particular</w:t>
      </w:r>
      <w:r w:rsidR="00427C8F">
        <w:rPr>
          <w:sz w:val="22"/>
          <w:lang w:val="en-GB" w:eastAsia="zh-CN"/>
        </w:rPr>
        <w:t xml:space="preserve">, the </w:t>
      </w:r>
      <w:r w:rsidR="002219B6">
        <w:rPr>
          <w:sz w:val="22"/>
          <w:lang w:val="en-GB" w:eastAsia="zh-CN"/>
        </w:rPr>
        <w:t xml:space="preserve">NR Rel-15 </w:t>
      </w:r>
      <w:r w:rsidR="00427C8F">
        <w:rPr>
          <w:sz w:val="22"/>
          <w:lang w:val="en-GB" w:eastAsia="zh-CN"/>
        </w:rPr>
        <w:t xml:space="preserve">front-loaded </w:t>
      </w:r>
      <w:r w:rsidR="002219B6">
        <w:rPr>
          <w:sz w:val="22"/>
          <w:lang w:val="en-GB" w:eastAsia="zh-CN"/>
        </w:rPr>
        <w:t xml:space="preserve">DMRS </w:t>
      </w:r>
      <w:r w:rsidR="00427C8F">
        <w:rPr>
          <w:sz w:val="22"/>
          <w:lang w:val="en-GB" w:eastAsia="zh-CN"/>
        </w:rPr>
        <w:t>structure with configuration type 1 (</w:t>
      </w:r>
      <w:r w:rsidR="00427C8F" w:rsidRPr="00427C8F">
        <w:rPr>
          <w:i/>
          <w:sz w:val="22"/>
          <w:lang w:val="en-GB" w:eastAsia="zh-CN"/>
        </w:rPr>
        <w:t>up to 8 ports</w:t>
      </w:r>
      <w:r w:rsidR="00427C8F">
        <w:rPr>
          <w:sz w:val="22"/>
          <w:lang w:val="en-GB" w:eastAsia="zh-CN"/>
        </w:rPr>
        <w:t>) should be supported for both DFT-s-OFDM and CP-OFDM waveforms.</w:t>
      </w:r>
      <w:r w:rsidR="00506ECD">
        <w:rPr>
          <w:sz w:val="22"/>
          <w:lang w:val="en-GB" w:eastAsia="zh-CN"/>
        </w:rPr>
        <w:t xml:space="preserve"> Moreover, when the overloading increases, larger DMRS overhead </w:t>
      </w:r>
      <w:r w:rsidR="00B230B0">
        <w:rPr>
          <w:sz w:val="22"/>
          <w:lang w:val="en-GB" w:eastAsia="zh-CN"/>
        </w:rPr>
        <w:t>need to</w:t>
      </w:r>
      <w:r w:rsidR="00012701">
        <w:rPr>
          <w:sz w:val="22"/>
          <w:lang w:val="en-GB" w:eastAsia="zh-CN"/>
        </w:rPr>
        <w:t xml:space="preserve"> </w:t>
      </w:r>
      <w:r w:rsidR="00506ECD">
        <w:rPr>
          <w:sz w:val="22"/>
          <w:lang w:val="en-GB" w:eastAsia="zh-CN"/>
        </w:rPr>
        <w:t>be supported</w:t>
      </w:r>
      <w:r w:rsidR="00012701">
        <w:rPr>
          <w:sz w:val="22"/>
          <w:lang w:val="en-GB" w:eastAsia="zh-CN"/>
        </w:rPr>
        <w:t>.</w:t>
      </w:r>
      <w:r w:rsidR="002219B6">
        <w:rPr>
          <w:sz w:val="22"/>
          <w:lang w:val="en-GB" w:eastAsia="zh-CN"/>
        </w:rPr>
        <w:t xml:space="preserve"> Therefore, we propose the following:</w:t>
      </w:r>
    </w:p>
    <w:p w14:paraId="48005905" w14:textId="428DB527" w:rsidR="002219B6" w:rsidRDefault="00506ECD" w:rsidP="002219B6">
      <w:pPr>
        <w:jc w:val="both"/>
        <w:rPr>
          <w:b/>
          <w:i/>
          <w:sz w:val="22"/>
          <w:lang w:val="en-GB" w:eastAsia="zh-CN"/>
        </w:rPr>
      </w:pPr>
      <w:bookmarkStart w:id="3" w:name="_Hlk510809773"/>
      <w:r>
        <w:rPr>
          <w:sz w:val="22"/>
          <w:lang w:val="en-GB" w:eastAsia="zh-CN"/>
        </w:rPr>
        <w:t xml:space="preserve"> </w:t>
      </w:r>
      <w:r w:rsidR="00E94F76">
        <w:rPr>
          <w:b/>
          <w:i/>
          <w:sz w:val="22"/>
          <w:highlight w:val="yellow"/>
          <w:u w:val="single"/>
          <w:lang w:val="en-GB" w:eastAsia="zh-CN"/>
        </w:rPr>
        <w:t>Proposal 5</w:t>
      </w:r>
      <w:r w:rsidR="002219B6" w:rsidRPr="00C73001">
        <w:rPr>
          <w:b/>
          <w:i/>
          <w:sz w:val="22"/>
          <w:highlight w:val="yellow"/>
          <w:u w:val="single"/>
          <w:lang w:val="en-GB" w:eastAsia="zh-CN"/>
        </w:rPr>
        <w:t>:</w:t>
      </w:r>
      <w:r w:rsidR="002219B6" w:rsidRPr="00C055C7">
        <w:rPr>
          <w:b/>
          <w:i/>
          <w:sz w:val="22"/>
          <w:lang w:val="en-GB" w:eastAsia="zh-CN"/>
        </w:rPr>
        <w:t xml:space="preserve">  For grant-based NOMA UL,</w:t>
      </w:r>
      <w:r w:rsidR="002219B6" w:rsidRPr="0060513A">
        <w:rPr>
          <w:b/>
          <w:i/>
          <w:sz w:val="22"/>
          <w:lang w:val="en-GB" w:eastAsia="zh-CN"/>
        </w:rPr>
        <w:t xml:space="preserve"> </w:t>
      </w:r>
      <w:r w:rsidR="002219B6">
        <w:rPr>
          <w:b/>
          <w:i/>
          <w:sz w:val="22"/>
          <w:lang w:val="en-GB" w:eastAsia="zh-CN"/>
        </w:rPr>
        <w:t xml:space="preserve">gNB determines the assignment of DMRS sequences. </w:t>
      </w:r>
      <w:r w:rsidR="002219B6" w:rsidRPr="002219B6">
        <w:rPr>
          <w:b/>
          <w:i/>
          <w:sz w:val="22"/>
          <w:lang w:val="en-GB" w:eastAsia="zh-CN"/>
        </w:rPr>
        <w:t>Depending on the overloading ratio of NOMA UE, both orthogonal and non-orthogonal DMRS transmission can be supported.</w:t>
      </w:r>
    </w:p>
    <w:p w14:paraId="6F94F389" w14:textId="05CDBDB1" w:rsidR="002219B6" w:rsidRDefault="00E94F76" w:rsidP="002219B6">
      <w:pPr>
        <w:jc w:val="both"/>
        <w:rPr>
          <w:b/>
          <w:i/>
          <w:sz w:val="22"/>
          <w:lang w:val="en-GB" w:eastAsia="zh-CN"/>
        </w:rPr>
      </w:pPr>
      <w:r>
        <w:rPr>
          <w:b/>
          <w:i/>
          <w:sz w:val="22"/>
          <w:highlight w:val="yellow"/>
          <w:u w:val="single"/>
          <w:lang w:val="en-GB" w:eastAsia="zh-CN"/>
        </w:rPr>
        <w:t>Proposal 6</w:t>
      </w:r>
      <w:r w:rsidR="002219B6" w:rsidRPr="00C73001">
        <w:rPr>
          <w:b/>
          <w:i/>
          <w:sz w:val="22"/>
          <w:highlight w:val="yellow"/>
          <w:u w:val="single"/>
          <w:lang w:val="en-GB" w:eastAsia="zh-CN"/>
        </w:rPr>
        <w:t>:</w:t>
      </w:r>
      <w:r w:rsidR="002219B6" w:rsidRPr="00C055C7">
        <w:rPr>
          <w:b/>
          <w:i/>
          <w:sz w:val="22"/>
          <w:lang w:val="en-GB" w:eastAsia="zh-CN"/>
        </w:rPr>
        <w:t xml:space="preserve">  For grant-based NOMA UL,</w:t>
      </w:r>
      <w:r w:rsidR="002219B6" w:rsidRPr="002219B6">
        <w:rPr>
          <w:b/>
          <w:sz w:val="22"/>
          <w:lang w:val="en-GB" w:eastAsia="zh-CN"/>
        </w:rPr>
        <w:t xml:space="preserve"> </w:t>
      </w:r>
      <w:r w:rsidR="002219B6" w:rsidRPr="00B642E2">
        <w:rPr>
          <w:b/>
          <w:i/>
          <w:sz w:val="22"/>
          <w:lang w:val="en-GB" w:eastAsia="zh-CN"/>
        </w:rPr>
        <w:t xml:space="preserve">the NR Rel-15 front-loaded DMRS structure with configuration type 1 (up to 8 ports) </w:t>
      </w:r>
      <w:r w:rsidR="0037412A">
        <w:rPr>
          <w:b/>
          <w:i/>
          <w:sz w:val="22"/>
          <w:lang w:val="en-GB" w:eastAsia="zh-CN"/>
        </w:rPr>
        <w:t>needs</w:t>
      </w:r>
      <w:r w:rsidR="002219B6" w:rsidRPr="00B642E2">
        <w:rPr>
          <w:b/>
          <w:i/>
          <w:sz w:val="22"/>
          <w:lang w:val="en-GB" w:eastAsia="zh-CN"/>
        </w:rPr>
        <w:t xml:space="preserve"> be supported for both DFT-s-OFDM and CP-OFDM waveforms.</w:t>
      </w:r>
    </w:p>
    <w:p w14:paraId="024A164B" w14:textId="5338DBF3" w:rsidR="002219B6" w:rsidRDefault="00B642E2" w:rsidP="002219B6">
      <w:pPr>
        <w:rPr>
          <w:b/>
          <w:i/>
          <w:sz w:val="22"/>
          <w:lang w:val="en-GB" w:eastAsia="zh-CN"/>
        </w:rPr>
      </w:pPr>
      <w:bookmarkStart w:id="4" w:name="_Hlk506470145"/>
      <w:r w:rsidRPr="00457235">
        <w:rPr>
          <w:b/>
          <w:i/>
          <w:sz w:val="22"/>
          <w:highlight w:val="yellow"/>
          <w:u w:val="single"/>
          <w:lang w:val="en-GB" w:eastAsia="zh-CN"/>
        </w:rPr>
        <w:t xml:space="preserve">Proposal </w:t>
      </w:r>
      <w:r w:rsidR="00E94F76">
        <w:rPr>
          <w:b/>
          <w:i/>
          <w:sz w:val="22"/>
          <w:highlight w:val="yellow"/>
          <w:u w:val="single"/>
          <w:lang w:val="en-GB" w:eastAsia="zh-CN"/>
        </w:rPr>
        <w:t>7</w:t>
      </w:r>
      <w:r>
        <w:rPr>
          <w:b/>
          <w:i/>
          <w:sz w:val="22"/>
          <w:lang w:val="en-GB" w:eastAsia="zh-CN"/>
        </w:rPr>
        <w:t xml:space="preserve">: </w:t>
      </w:r>
      <w:r w:rsidR="009D18C0" w:rsidRPr="00C055C7">
        <w:rPr>
          <w:b/>
          <w:i/>
          <w:sz w:val="22"/>
          <w:lang w:val="en-GB" w:eastAsia="zh-CN"/>
        </w:rPr>
        <w:t>For grant-based NOMA UL,</w:t>
      </w:r>
      <w:r w:rsidR="009B3B36">
        <w:rPr>
          <w:b/>
          <w:i/>
          <w:sz w:val="22"/>
          <w:lang w:val="en-GB" w:eastAsia="zh-CN"/>
        </w:rPr>
        <w:t xml:space="preserve"> </w:t>
      </w:r>
      <w:r w:rsidR="009B3B36" w:rsidRPr="009B3B36">
        <w:rPr>
          <w:b/>
          <w:i/>
          <w:sz w:val="22"/>
          <w:lang w:val="en-GB" w:eastAsia="zh-CN"/>
        </w:rPr>
        <w:t xml:space="preserve">larger DMRS </w:t>
      </w:r>
      <w:r w:rsidR="0037412A">
        <w:rPr>
          <w:b/>
          <w:i/>
          <w:sz w:val="22"/>
          <w:lang w:val="en-GB" w:eastAsia="zh-CN"/>
        </w:rPr>
        <w:t>overhead</w:t>
      </w:r>
      <w:r w:rsidR="00E94F76">
        <w:rPr>
          <w:b/>
          <w:i/>
          <w:sz w:val="22"/>
          <w:lang w:val="en-GB" w:eastAsia="zh-CN"/>
        </w:rPr>
        <w:t xml:space="preserve"> can</w:t>
      </w:r>
      <w:r w:rsidR="009B3B36" w:rsidRPr="009B3B36">
        <w:rPr>
          <w:b/>
          <w:i/>
          <w:sz w:val="22"/>
          <w:lang w:val="en-GB" w:eastAsia="zh-CN"/>
        </w:rPr>
        <w:t xml:space="preserve"> be supported for large overloading ratio.</w:t>
      </w:r>
    </w:p>
    <w:bookmarkEnd w:id="3"/>
    <w:p w14:paraId="77C4DA25" w14:textId="77777777" w:rsidR="0066423E" w:rsidRPr="002219B6" w:rsidRDefault="0066423E" w:rsidP="002219B6">
      <w:pPr>
        <w:rPr>
          <w:b/>
          <w:i/>
          <w:sz w:val="22"/>
          <w:lang w:val="en-GB" w:eastAsia="zh-CN"/>
        </w:rPr>
      </w:pPr>
    </w:p>
    <w:bookmarkEnd w:id="4"/>
    <w:p w14:paraId="345EC334" w14:textId="3A4F26D0" w:rsidR="00635ED0" w:rsidRDefault="00635ED0" w:rsidP="006B6DC3">
      <w:pPr>
        <w:pStyle w:val="Heading1"/>
        <w:rPr>
          <w:lang w:val="en-US"/>
        </w:rPr>
      </w:pPr>
      <w:r>
        <w:rPr>
          <w:lang w:val="en-US"/>
        </w:rPr>
        <w:t xml:space="preserve">Grant-free NOMA UL </w:t>
      </w:r>
    </w:p>
    <w:p w14:paraId="0990DC52" w14:textId="50B999B7" w:rsidR="00FD421F" w:rsidRDefault="00C7134A" w:rsidP="00903668">
      <w:pPr>
        <w:jc w:val="both"/>
        <w:rPr>
          <w:sz w:val="22"/>
        </w:rPr>
      </w:pPr>
      <w:r>
        <w:rPr>
          <w:sz w:val="22"/>
        </w:rPr>
        <w:t xml:space="preserve">The </w:t>
      </w:r>
      <w:r w:rsidR="00FD421F" w:rsidRPr="00002E83">
        <w:rPr>
          <w:sz w:val="22"/>
        </w:rPr>
        <w:t>grant-free transmis</w:t>
      </w:r>
      <w:r>
        <w:rPr>
          <w:sz w:val="22"/>
        </w:rPr>
        <w:t xml:space="preserve">sion of NOMA is collision based, which occurs for both UL data and DMRS. Different </w:t>
      </w:r>
      <w:r w:rsidR="00170171">
        <w:rPr>
          <w:sz w:val="22"/>
        </w:rPr>
        <w:t>from the grant-based scenario</w:t>
      </w:r>
      <w:r>
        <w:rPr>
          <w:sz w:val="22"/>
        </w:rPr>
        <w:t xml:space="preserve">, </w:t>
      </w:r>
      <w:r w:rsidR="00FD421F" w:rsidRPr="00002E83">
        <w:rPr>
          <w:sz w:val="22"/>
        </w:rPr>
        <w:t xml:space="preserve">the pattern of </w:t>
      </w:r>
      <w:r w:rsidR="00056F37">
        <w:rPr>
          <w:sz w:val="22"/>
        </w:rPr>
        <w:t xml:space="preserve">data/DMRS </w:t>
      </w:r>
      <w:r w:rsidR="00FD421F" w:rsidRPr="00002E83">
        <w:rPr>
          <w:sz w:val="22"/>
        </w:rPr>
        <w:t>collision is unknown to gNB. Therefore, gNB has to perform blind detection to discover the UE activity,</w:t>
      </w:r>
      <w:r w:rsidR="00903668">
        <w:rPr>
          <w:sz w:val="22"/>
        </w:rPr>
        <w:t xml:space="preserve"> estimate the </w:t>
      </w:r>
      <w:r w:rsidR="005F1F3A">
        <w:rPr>
          <w:sz w:val="22"/>
        </w:rPr>
        <w:t xml:space="preserve">channel profile and demodulate the data. </w:t>
      </w:r>
    </w:p>
    <w:p w14:paraId="54830DB9" w14:textId="6DABD517" w:rsidR="00A62AC2" w:rsidRDefault="00D86B86" w:rsidP="001D65A4">
      <w:pPr>
        <w:jc w:val="both"/>
        <w:rPr>
          <w:sz w:val="22"/>
        </w:rPr>
      </w:pPr>
      <w:r>
        <w:rPr>
          <w:sz w:val="22"/>
        </w:rPr>
        <w:t>To reduce the collision of DMRS and data transmission in linear hybrid spreading scheme, a larger pool size need</w:t>
      </w:r>
      <w:r w:rsidR="0066423E">
        <w:rPr>
          <w:sz w:val="22"/>
        </w:rPr>
        <w:t>s</w:t>
      </w:r>
      <w:r>
        <w:rPr>
          <w:sz w:val="22"/>
        </w:rPr>
        <w:t xml:space="preserve"> to be considered for DMRS sequences, linear spreading codes and </w:t>
      </w:r>
      <w:r w:rsidR="00BC2AFF">
        <w:rPr>
          <w:sz w:val="22"/>
        </w:rPr>
        <w:t>scrambling codes</w:t>
      </w:r>
      <w:r>
        <w:rPr>
          <w:sz w:val="22"/>
        </w:rPr>
        <w:t xml:space="preserve">. </w:t>
      </w:r>
      <w:r w:rsidR="00387BDF">
        <w:rPr>
          <w:sz w:val="22"/>
        </w:rPr>
        <w:t xml:space="preserve">Besides, the sensitivity to timing uncertainty needs to be addressed in the design of DMRS sequences and </w:t>
      </w:r>
      <w:r w:rsidR="00BF3D3A">
        <w:rPr>
          <w:sz w:val="22"/>
        </w:rPr>
        <w:t xml:space="preserve">multi-layer </w:t>
      </w:r>
      <w:r w:rsidR="00387BDF">
        <w:rPr>
          <w:sz w:val="22"/>
        </w:rPr>
        <w:t xml:space="preserve">linear hybrid spreading </w:t>
      </w:r>
      <w:r w:rsidR="00BF3D3A">
        <w:rPr>
          <w:sz w:val="22"/>
        </w:rPr>
        <w:t xml:space="preserve">and scrambling </w:t>
      </w:r>
      <w:r w:rsidR="00387BDF">
        <w:rPr>
          <w:sz w:val="22"/>
        </w:rPr>
        <w:t>schemes</w:t>
      </w:r>
      <w:r w:rsidR="00470059">
        <w:rPr>
          <w:sz w:val="22"/>
        </w:rPr>
        <w:t xml:space="preserve"> [20</w:t>
      </w:r>
      <w:r w:rsidR="003C123D">
        <w:rPr>
          <w:sz w:val="22"/>
        </w:rPr>
        <w:t>-22</w:t>
      </w:r>
      <w:r w:rsidR="00470059">
        <w:rPr>
          <w:sz w:val="22"/>
        </w:rPr>
        <w:t>]</w:t>
      </w:r>
      <w:r w:rsidR="00387BDF">
        <w:rPr>
          <w:sz w:val="22"/>
        </w:rPr>
        <w:t>.</w:t>
      </w:r>
    </w:p>
    <w:p w14:paraId="4456770F" w14:textId="76CEA0D9" w:rsidR="001D65A4" w:rsidRDefault="002E5968" w:rsidP="001D65A4">
      <w:pPr>
        <w:jc w:val="both"/>
        <w:rPr>
          <w:sz w:val="22"/>
        </w:rPr>
      </w:pPr>
      <w:bookmarkStart w:id="5" w:name="_Hlk506505995"/>
      <w:r>
        <w:rPr>
          <w:sz w:val="22"/>
        </w:rPr>
        <w:t>Considering this, we propose the following:</w:t>
      </w:r>
    </w:p>
    <w:p w14:paraId="52FB72E7" w14:textId="0D53EE6A" w:rsidR="00091188" w:rsidRPr="00A14BA5" w:rsidRDefault="00091188" w:rsidP="00091188">
      <w:pPr>
        <w:rPr>
          <w:b/>
          <w:i/>
          <w:sz w:val="22"/>
          <w:lang w:val="en-GB" w:eastAsia="zh-CN"/>
        </w:rPr>
      </w:pPr>
      <w:bookmarkStart w:id="6" w:name="_Hlk506471355"/>
      <w:r w:rsidRPr="00A14BA5">
        <w:rPr>
          <w:b/>
          <w:i/>
          <w:sz w:val="22"/>
          <w:highlight w:val="yellow"/>
          <w:u w:val="single"/>
          <w:lang w:val="en-GB" w:eastAsia="zh-CN"/>
        </w:rPr>
        <w:t xml:space="preserve">Proposal </w:t>
      </w:r>
      <w:r w:rsidR="00891933">
        <w:rPr>
          <w:b/>
          <w:i/>
          <w:sz w:val="22"/>
          <w:highlight w:val="yellow"/>
          <w:u w:val="single"/>
          <w:lang w:val="en-GB" w:eastAsia="zh-CN"/>
        </w:rPr>
        <w:t>8</w:t>
      </w:r>
      <w:r w:rsidRPr="00A14BA5">
        <w:rPr>
          <w:b/>
          <w:i/>
          <w:sz w:val="22"/>
          <w:lang w:val="en-GB" w:eastAsia="zh-CN"/>
        </w:rPr>
        <w:t>: For</w:t>
      </w:r>
      <w:r w:rsidR="00E709D3" w:rsidRPr="00A14BA5">
        <w:rPr>
          <w:b/>
          <w:i/>
          <w:sz w:val="22"/>
          <w:lang w:val="en-GB" w:eastAsia="zh-CN"/>
        </w:rPr>
        <w:t xml:space="preserve"> </w:t>
      </w:r>
      <w:r w:rsidR="00D41777" w:rsidRPr="00A14BA5">
        <w:rPr>
          <w:b/>
          <w:i/>
          <w:sz w:val="22"/>
          <w:lang w:val="en-GB" w:eastAsia="zh-CN"/>
        </w:rPr>
        <w:t xml:space="preserve">UL </w:t>
      </w:r>
      <w:r w:rsidR="00E709D3" w:rsidRPr="00A14BA5">
        <w:rPr>
          <w:b/>
          <w:i/>
          <w:sz w:val="22"/>
          <w:lang w:val="en-GB" w:eastAsia="zh-CN"/>
        </w:rPr>
        <w:t xml:space="preserve">DMRS </w:t>
      </w:r>
      <w:r w:rsidR="00D41777" w:rsidRPr="00A14BA5">
        <w:rPr>
          <w:b/>
          <w:i/>
          <w:sz w:val="22"/>
          <w:lang w:val="en-GB" w:eastAsia="zh-CN"/>
        </w:rPr>
        <w:t>transmission in</w:t>
      </w:r>
      <w:r w:rsidR="00E709D3" w:rsidRPr="00A14BA5">
        <w:rPr>
          <w:b/>
          <w:i/>
          <w:sz w:val="22"/>
          <w:lang w:val="en-GB" w:eastAsia="zh-CN"/>
        </w:rPr>
        <w:t xml:space="preserve"> </w:t>
      </w:r>
      <w:r w:rsidRPr="00A14BA5">
        <w:rPr>
          <w:b/>
          <w:i/>
          <w:sz w:val="22"/>
          <w:lang w:val="en-GB" w:eastAsia="zh-CN"/>
        </w:rPr>
        <w:t>grant-free</w:t>
      </w:r>
      <w:r w:rsidR="00D41777" w:rsidRPr="00A14BA5">
        <w:rPr>
          <w:b/>
          <w:i/>
          <w:sz w:val="22"/>
          <w:lang w:val="en-GB" w:eastAsia="zh-CN"/>
        </w:rPr>
        <w:t xml:space="preserve"> NOMA</w:t>
      </w:r>
      <w:r w:rsidRPr="00A14BA5">
        <w:rPr>
          <w:b/>
          <w:i/>
          <w:sz w:val="22"/>
          <w:lang w:val="en-GB" w:eastAsia="zh-CN"/>
        </w:rPr>
        <w:t>:</w:t>
      </w:r>
    </w:p>
    <w:bookmarkEnd w:id="5"/>
    <w:p w14:paraId="3A70769A" w14:textId="757706D7" w:rsidR="00091188" w:rsidRPr="00A14BA5" w:rsidRDefault="00091188" w:rsidP="00091188">
      <w:pPr>
        <w:pStyle w:val="ListParagraph"/>
        <w:numPr>
          <w:ilvl w:val="0"/>
          <w:numId w:val="6"/>
        </w:numPr>
        <w:rPr>
          <w:rFonts w:ascii="Times New Roman" w:hAnsi="Times New Roman"/>
          <w:b/>
          <w:i/>
          <w:lang w:val="en-GB" w:eastAsia="zh-CN"/>
        </w:rPr>
      </w:pPr>
      <w:r w:rsidRPr="00A14BA5">
        <w:rPr>
          <w:rFonts w:ascii="Times New Roman" w:hAnsi="Times New Roman"/>
          <w:b/>
          <w:i/>
          <w:lang w:val="en-GB" w:eastAsia="zh-CN"/>
        </w:rPr>
        <w:t>front-loaded DMRS</w:t>
      </w:r>
      <w:r w:rsidR="0037412A">
        <w:rPr>
          <w:rFonts w:ascii="Times New Roman" w:hAnsi="Times New Roman"/>
          <w:b/>
          <w:i/>
          <w:lang w:val="en-GB" w:eastAsia="zh-CN"/>
        </w:rPr>
        <w:t xml:space="preserve"> structure needs to</w:t>
      </w:r>
      <w:r w:rsidR="00D762DE" w:rsidRPr="00A14BA5">
        <w:rPr>
          <w:rFonts w:ascii="Times New Roman" w:hAnsi="Times New Roman"/>
          <w:b/>
          <w:i/>
          <w:lang w:val="en-GB" w:eastAsia="zh-CN"/>
        </w:rPr>
        <w:t xml:space="preserve"> be supported</w:t>
      </w:r>
      <w:r w:rsidRPr="00A14BA5">
        <w:rPr>
          <w:rFonts w:ascii="Times New Roman" w:hAnsi="Times New Roman"/>
          <w:b/>
          <w:i/>
          <w:lang w:val="en-GB" w:eastAsia="zh-CN"/>
        </w:rPr>
        <w:t>;</w:t>
      </w:r>
    </w:p>
    <w:p w14:paraId="3608241F" w14:textId="469A7776" w:rsidR="00091188" w:rsidRPr="00A14BA5" w:rsidRDefault="00091188" w:rsidP="00091188">
      <w:pPr>
        <w:pStyle w:val="ListParagraph"/>
        <w:numPr>
          <w:ilvl w:val="0"/>
          <w:numId w:val="6"/>
        </w:numPr>
        <w:rPr>
          <w:rFonts w:ascii="Times New Roman" w:hAnsi="Times New Roman"/>
          <w:b/>
          <w:i/>
          <w:lang w:val="en-GB" w:eastAsia="zh-CN"/>
        </w:rPr>
      </w:pPr>
      <w:r w:rsidRPr="00A14BA5">
        <w:rPr>
          <w:rFonts w:ascii="Times New Roman" w:hAnsi="Times New Roman"/>
          <w:b/>
          <w:i/>
          <w:lang w:val="en-GB" w:eastAsia="zh-CN"/>
        </w:rPr>
        <w:t>larger DMRS</w:t>
      </w:r>
      <w:r w:rsidR="00BF3D3A">
        <w:rPr>
          <w:rFonts w:ascii="Times New Roman" w:hAnsi="Times New Roman"/>
          <w:b/>
          <w:i/>
          <w:lang w:val="en-GB" w:eastAsia="zh-CN"/>
        </w:rPr>
        <w:t xml:space="preserve"> overhead</w:t>
      </w:r>
      <w:r w:rsidR="0037412A">
        <w:rPr>
          <w:rFonts w:ascii="Times New Roman" w:hAnsi="Times New Roman"/>
          <w:b/>
          <w:i/>
          <w:lang w:val="en-GB" w:eastAsia="zh-CN"/>
        </w:rPr>
        <w:t xml:space="preserve"> needs</w:t>
      </w:r>
      <w:r w:rsidRPr="00A14BA5">
        <w:rPr>
          <w:rFonts w:ascii="Times New Roman" w:hAnsi="Times New Roman"/>
          <w:b/>
          <w:i/>
          <w:lang w:val="en-GB" w:eastAsia="zh-CN"/>
        </w:rPr>
        <w:t xml:space="preserve"> </w:t>
      </w:r>
      <w:r w:rsidR="00F521C6">
        <w:rPr>
          <w:rFonts w:ascii="Times New Roman" w:hAnsi="Times New Roman"/>
          <w:b/>
          <w:i/>
          <w:lang w:val="en-GB" w:eastAsia="zh-CN"/>
        </w:rPr>
        <w:t xml:space="preserve">to </w:t>
      </w:r>
      <w:r w:rsidRPr="00A14BA5">
        <w:rPr>
          <w:rFonts w:ascii="Times New Roman" w:hAnsi="Times New Roman"/>
          <w:b/>
          <w:i/>
          <w:lang w:val="en-GB" w:eastAsia="zh-CN"/>
        </w:rPr>
        <w:t>be supported;</w:t>
      </w:r>
    </w:p>
    <w:p w14:paraId="1AAC3776" w14:textId="2215CEC6" w:rsidR="00091188" w:rsidRPr="00A14BA5" w:rsidRDefault="00091188" w:rsidP="00E709D3">
      <w:pPr>
        <w:rPr>
          <w:b/>
          <w:i/>
          <w:lang w:val="en-GB" w:eastAsia="zh-CN"/>
        </w:rPr>
      </w:pPr>
    </w:p>
    <w:p w14:paraId="160CAE1D" w14:textId="2287FFB6" w:rsidR="00D762DE" w:rsidRPr="00A14BA5" w:rsidRDefault="00E709D3" w:rsidP="00D762DE">
      <w:pPr>
        <w:rPr>
          <w:b/>
          <w:i/>
          <w:sz w:val="22"/>
          <w:lang w:val="en-GB" w:eastAsia="zh-CN"/>
        </w:rPr>
      </w:pPr>
      <w:r w:rsidRPr="00A14BA5">
        <w:rPr>
          <w:b/>
          <w:i/>
          <w:sz w:val="22"/>
          <w:highlight w:val="yellow"/>
          <w:u w:val="single"/>
          <w:lang w:val="en-GB" w:eastAsia="zh-CN"/>
        </w:rPr>
        <w:t xml:space="preserve">Proposal </w:t>
      </w:r>
      <w:r w:rsidR="00891933">
        <w:rPr>
          <w:b/>
          <w:i/>
          <w:sz w:val="22"/>
          <w:highlight w:val="yellow"/>
          <w:u w:val="single"/>
          <w:lang w:val="en-GB" w:eastAsia="zh-CN"/>
        </w:rPr>
        <w:t>9</w:t>
      </w:r>
      <w:r w:rsidRPr="00A14BA5">
        <w:rPr>
          <w:b/>
          <w:i/>
          <w:sz w:val="22"/>
          <w:lang w:val="en-GB" w:eastAsia="zh-CN"/>
        </w:rPr>
        <w:t xml:space="preserve">: For </w:t>
      </w:r>
      <w:r w:rsidR="00D762DE" w:rsidRPr="00A14BA5">
        <w:rPr>
          <w:b/>
          <w:i/>
          <w:sz w:val="22"/>
          <w:lang w:val="en-GB" w:eastAsia="zh-CN"/>
        </w:rPr>
        <w:t>UL data transmission in grant-free NOMA:</w:t>
      </w:r>
    </w:p>
    <w:p w14:paraId="58E77F46" w14:textId="213D7588" w:rsidR="00E709D3" w:rsidRPr="00A14BA5" w:rsidRDefault="00D64509" w:rsidP="00D762DE">
      <w:pPr>
        <w:pStyle w:val="ListParagraph"/>
        <w:numPr>
          <w:ilvl w:val="0"/>
          <w:numId w:val="7"/>
        </w:numPr>
        <w:rPr>
          <w:rFonts w:ascii="Times New Roman" w:hAnsi="Times New Roman"/>
          <w:b/>
          <w:i/>
          <w:lang w:val="en-GB" w:eastAsia="zh-CN"/>
        </w:rPr>
      </w:pPr>
      <w:r>
        <w:rPr>
          <w:rFonts w:ascii="Times New Roman" w:hAnsi="Times New Roman"/>
          <w:b/>
          <w:i/>
          <w:lang w:val="en-GB" w:eastAsia="zh-CN"/>
        </w:rPr>
        <w:t xml:space="preserve">multi-layer </w:t>
      </w:r>
      <w:r w:rsidR="00D762DE" w:rsidRPr="00A14BA5">
        <w:rPr>
          <w:rFonts w:ascii="Times New Roman" w:hAnsi="Times New Roman"/>
          <w:b/>
          <w:i/>
          <w:lang w:val="en-GB" w:eastAsia="zh-CN"/>
        </w:rPr>
        <w:t>linea</w:t>
      </w:r>
      <w:r w:rsidR="0037412A">
        <w:rPr>
          <w:rFonts w:ascii="Times New Roman" w:hAnsi="Times New Roman"/>
          <w:b/>
          <w:i/>
          <w:lang w:val="en-GB" w:eastAsia="zh-CN"/>
        </w:rPr>
        <w:t>r hybrid spreading</w:t>
      </w:r>
      <w:r>
        <w:rPr>
          <w:rFonts w:ascii="Times New Roman" w:hAnsi="Times New Roman"/>
          <w:b/>
          <w:i/>
          <w:lang w:val="en-GB" w:eastAsia="zh-CN"/>
        </w:rPr>
        <w:t xml:space="preserve"> and scrambling</w:t>
      </w:r>
      <w:r w:rsidR="0037412A">
        <w:rPr>
          <w:rFonts w:ascii="Times New Roman" w:hAnsi="Times New Roman"/>
          <w:b/>
          <w:i/>
          <w:lang w:val="en-GB" w:eastAsia="zh-CN"/>
        </w:rPr>
        <w:t xml:space="preserve"> scheme needs to</w:t>
      </w:r>
      <w:r w:rsidR="00D762DE" w:rsidRPr="00A14BA5">
        <w:rPr>
          <w:rFonts w:ascii="Times New Roman" w:hAnsi="Times New Roman"/>
          <w:b/>
          <w:i/>
          <w:lang w:val="en-GB" w:eastAsia="zh-CN"/>
        </w:rPr>
        <w:t xml:space="preserve"> be supported;</w:t>
      </w:r>
    </w:p>
    <w:p w14:paraId="24B864B6" w14:textId="2F7C7D23" w:rsidR="00D762DE" w:rsidRPr="00A14BA5" w:rsidRDefault="00D762DE" w:rsidP="00D762DE">
      <w:pPr>
        <w:pStyle w:val="ListParagraph"/>
        <w:numPr>
          <w:ilvl w:val="0"/>
          <w:numId w:val="7"/>
        </w:numPr>
        <w:rPr>
          <w:rFonts w:ascii="Times New Roman" w:hAnsi="Times New Roman"/>
          <w:b/>
          <w:i/>
          <w:lang w:val="en-GB" w:eastAsia="zh-CN"/>
        </w:rPr>
      </w:pPr>
      <w:r w:rsidRPr="00A14BA5">
        <w:rPr>
          <w:rFonts w:ascii="Times New Roman" w:hAnsi="Times New Roman"/>
          <w:b/>
          <w:i/>
          <w:lang w:val="en-GB" w:eastAsia="zh-CN"/>
        </w:rPr>
        <w:t>the receiver sensitivity</w:t>
      </w:r>
      <w:r w:rsidR="00E80939">
        <w:rPr>
          <w:rFonts w:ascii="Times New Roman" w:hAnsi="Times New Roman"/>
          <w:b/>
          <w:i/>
          <w:lang w:val="en-GB" w:eastAsia="zh-CN"/>
        </w:rPr>
        <w:t xml:space="preserve"> to time/frequency errors needs</w:t>
      </w:r>
      <w:r w:rsidRPr="00A14BA5">
        <w:rPr>
          <w:rFonts w:ascii="Times New Roman" w:hAnsi="Times New Roman"/>
          <w:b/>
          <w:i/>
          <w:lang w:val="en-GB" w:eastAsia="zh-CN"/>
        </w:rPr>
        <w:t xml:space="preserve"> </w:t>
      </w:r>
      <w:r w:rsidR="007A122E">
        <w:rPr>
          <w:rFonts w:ascii="Times New Roman" w:hAnsi="Times New Roman"/>
          <w:b/>
          <w:i/>
          <w:lang w:val="en-GB" w:eastAsia="zh-CN"/>
        </w:rPr>
        <w:t xml:space="preserve">to </w:t>
      </w:r>
      <w:r w:rsidRPr="00A14BA5">
        <w:rPr>
          <w:rFonts w:ascii="Times New Roman" w:hAnsi="Times New Roman"/>
          <w:b/>
          <w:i/>
          <w:lang w:val="en-GB" w:eastAsia="zh-CN"/>
        </w:rPr>
        <w:t>be considered;</w:t>
      </w:r>
    </w:p>
    <w:p w14:paraId="1E2D99C6" w14:textId="1AC1087F" w:rsidR="00D762DE" w:rsidRPr="00A14BA5" w:rsidRDefault="00D762DE" w:rsidP="00D762DE">
      <w:pPr>
        <w:pStyle w:val="ListParagraph"/>
        <w:numPr>
          <w:ilvl w:val="0"/>
          <w:numId w:val="7"/>
        </w:numPr>
        <w:rPr>
          <w:rFonts w:ascii="Times New Roman" w:hAnsi="Times New Roman"/>
          <w:b/>
          <w:i/>
          <w:lang w:val="en-GB" w:eastAsia="zh-CN"/>
        </w:rPr>
      </w:pPr>
      <w:r w:rsidRPr="00A14BA5">
        <w:rPr>
          <w:rFonts w:ascii="Times New Roman" w:hAnsi="Times New Roman"/>
          <w:b/>
          <w:i/>
          <w:lang w:val="en-GB" w:eastAsia="zh-CN"/>
        </w:rPr>
        <w:t xml:space="preserve">the complexity of </w:t>
      </w:r>
      <w:r w:rsidR="00A2667F">
        <w:rPr>
          <w:rFonts w:ascii="Times New Roman" w:hAnsi="Times New Roman"/>
          <w:b/>
          <w:i/>
          <w:lang w:val="en-GB" w:eastAsia="zh-CN"/>
        </w:rPr>
        <w:t xml:space="preserve">transmitter and </w:t>
      </w:r>
      <w:r w:rsidRPr="00A14BA5">
        <w:rPr>
          <w:rFonts w:ascii="Times New Roman" w:hAnsi="Times New Roman"/>
          <w:b/>
          <w:i/>
          <w:lang w:val="en-GB" w:eastAsia="zh-CN"/>
        </w:rPr>
        <w:t xml:space="preserve">receiver </w:t>
      </w:r>
      <w:r w:rsidR="00E80939">
        <w:rPr>
          <w:rFonts w:ascii="Times New Roman" w:hAnsi="Times New Roman"/>
          <w:b/>
          <w:i/>
          <w:lang w:val="en-GB" w:eastAsia="zh-CN"/>
        </w:rPr>
        <w:t>needs to</w:t>
      </w:r>
      <w:r w:rsidR="0002255D">
        <w:rPr>
          <w:rFonts w:ascii="Times New Roman" w:hAnsi="Times New Roman"/>
          <w:b/>
          <w:i/>
          <w:lang w:val="en-GB" w:eastAsia="zh-CN"/>
        </w:rPr>
        <w:t xml:space="preserve"> be considered and used</w:t>
      </w:r>
      <w:r w:rsidRPr="00A14BA5">
        <w:rPr>
          <w:rFonts w:ascii="Times New Roman" w:hAnsi="Times New Roman"/>
          <w:b/>
          <w:i/>
          <w:lang w:val="en-GB" w:eastAsia="zh-CN"/>
        </w:rPr>
        <w:t xml:space="preserve"> as a</w:t>
      </w:r>
      <w:r w:rsidR="0002255D">
        <w:rPr>
          <w:rFonts w:ascii="Times New Roman" w:hAnsi="Times New Roman"/>
          <w:b/>
          <w:i/>
          <w:lang w:val="en-GB" w:eastAsia="zh-CN"/>
        </w:rPr>
        <w:t>n evaluation</w:t>
      </w:r>
      <w:r w:rsidRPr="00A14BA5">
        <w:rPr>
          <w:rFonts w:ascii="Times New Roman" w:hAnsi="Times New Roman"/>
          <w:b/>
          <w:i/>
          <w:lang w:val="en-GB" w:eastAsia="zh-CN"/>
        </w:rPr>
        <w:t xml:space="preserve"> metric for different transmission schemes.</w:t>
      </w:r>
    </w:p>
    <w:bookmarkEnd w:id="6"/>
    <w:p w14:paraId="6FFD8DA7" w14:textId="77777777" w:rsidR="002E5968" w:rsidRPr="00091188" w:rsidRDefault="002E5968" w:rsidP="001D65A4">
      <w:pPr>
        <w:jc w:val="both"/>
        <w:rPr>
          <w:sz w:val="22"/>
          <w:lang w:val="en-GB"/>
        </w:rPr>
      </w:pPr>
    </w:p>
    <w:p w14:paraId="5FF64828" w14:textId="2E9E89AB" w:rsidR="00942E62" w:rsidRDefault="00942E62" w:rsidP="006B6DC3">
      <w:pPr>
        <w:pStyle w:val="Heading1"/>
        <w:rPr>
          <w:lang w:val="en-US"/>
        </w:rPr>
      </w:pPr>
      <w:r>
        <w:rPr>
          <w:lang w:val="en-US"/>
        </w:rPr>
        <w:t xml:space="preserve">HARQ in </w:t>
      </w:r>
      <w:r w:rsidR="00967B42">
        <w:rPr>
          <w:lang w:val="en-US"/>
        </w:rPr>
        <w:t>NOMA UL</w:t>
      </w:r>
    </w:p>
    <w:p w14:paraId="283BBF18" w14:textId="69B1FF00" w:rsidR="008D474C" w:rsidRPr="009353F3" w:rsidRDefault="00D500BD" w:rsidP="008D474C">
      <w:pPr>
        <w:jc w:val="both"/>
        <w:rPr>
          <w:sz w:val="22"/>
        </w:rPr>
      </w:pPr>
      <w:r w:rsidRPr="009353F3">
        <w:rPr>
          <w:sz w:val="22"/>
        </w:rPr>
        <w:t>Depending on the NOMA operation modes shown in Table 1, the</w:t>
      </w:r>
      <w:r w:rsidR="008D474C" w:rsidRPr="009353F3">
        <w:rPr>
          <w:sz w:val="22"/>
        </w:rPr>
        <w:t xml:space="preserve"> HARQ </w:t>
      </w:r>
      <w:r w:rsidR="004E7DFB">
        <w:rPr>
          <w:sz w:val="22"/>
        </w:rPr>
        <w:t xml:space="preserve">process </w:t>
      </w:r>
      <w:r w:rsidR="008D474C" w:rsidRPr="009353F3">
        <w:rPr>
          <w:sz w:val="22"/>
        </w:rPr>
        <w:t>can take different forms:</w:t>
      </w:r>
    </w:p>
    <w:p w14:paraId="13142005" w14:textId="4AF3CBC7" w:rsidR="00967B42" w:rsidRDefault="008D474C" w:rsidP="008D474C">
      <w:pPr>
        <w:pStyle w:val="ListParagraph"/>
        <w:numPr>
          <w:ilvl w:val="0"/>
          <w:numId w:val="8"/>
        </w:numPr>
        <w:jc w:val="both"/>
        <w:rPr>
          <w:rFonts w:ascii="Times New Roman" w:hAnsi="Times New Roman"/>
        </w:rPr>
      </w:pPr>
      <w:bookmarkStart w:id="7" w:name="_Hlk506505242"/>
      <w:r w:rsidRPr="008D474C">
        <w:rPr>
          <w:rFonts w:ascii="Times New Roman" w:hAnsi="Times New Roman"/>
        </w:rPr>
        <w:t>For grant-free</w:t>
      </w:r>
      <w:r>
        <w:rPr>
          <w:rFonts w:ascii="Times New Roman" w:hAnsi="Times New Roman"/>
        </w:rPr>
        <w:t>, contention-based</w:t>
      </w:r>
      <w:r w:rsidRPr="008D474C">
        <w:rPr>
          <w:rFonts w:ascii="Times New Roman" w:hAnsi="Times New Roman"/>
        </w:rPr>
        <w:t xml:space="preserve"> transmission</w:t>
      </w:r>
      <w:r>
        <w:rPr>
          <w:rFonts w:ascii="Times New Roman" w:hAnsi="Times New Roman"/>
        </w:rPr>
        <w:t xml:space="preserve"> with synchronized UL, a </w:t>
      </w:r>
      <w:r w:rsidRPr="008D474C">
        <w:rPr>
          <w:rFonts w:ascii="Times New Roman" w:hAnsi="Times New Roman"/>
        </w:rPr>
        <w:t>scheduling request</w:t>
      </w:r>
      <w:r w:rsidR="00EC381F">
        <w:rPr>
          <w:rFonts w:ascii="Times New Roman" w:hAnsi="Times New Roman"/>
        </w:rPr>
        <w:t xml:space="preserve"> (SR)</w:t>
      </w:r>
      <w:r w:rsidRPr="008D474C">
        <w:rPr>
          <w:rFonts w:ascii="Times New Roman" w:hAnsi="Times New Roman"/>
        </w:rPr>
        <w:t xml:space="preserve"> can be appended to the first t</w:t>
      </w:r>
      <w:r w:rsidR="00EC381F">
        <w:rPr>
          <w:rFonts w:ascii="Times New Roman" w:hAnsi="Times New Roman"/>
        </w:rPr>
        <w:t>ransmission.</w:t>
      </w:r>
    </w:p>
    <w:bookmarkEnd w:id="7"/>
    <w:p w14:paraId="607D2F77" w14:textId="308F22CB" w:rsidR="00EC381F" w:rsidRDefault="00EC381F" w:rsidP="00EC381F">
      <w:pPr>
        <w:pStyle w:val="ListParagraph"/>
        <w:numPr>
          <w:ilvl w:val="1"/>
          <w:numId w:val="8"/>
        </w:numPr>
        <w:jc w:val="both"/>
        <w:rPr>
          <w:rFonts w:ascii="Times New Roman" w:hAnsi="Times New Roman"/>
        </w:rPr>
      </w:pPr>
      <w:r>
        <w:rPr>
          <w:rFonts w:ascii="Times New Roman" w:hAnsi="Times New Roman"/>
        </w:rPr>
        <w:t>If the initial transmission fails but the SR can be decoded, the following retransmission(s) will be grant-based.</w:t>
      </w:r>
    </w:p>
    <w:p w14:paraId="7E369697" w14:textId="62478720" w:rsidR="00EC381F" w:rsidRPr="00E917AC" w:rsidRDefault="00EC381F" w:rsidP="00E917AC">
      <w:pPr>
        <w:pStyle w:val="ListParagraph"/>
        <w:numPr>
          <w:ilvl w:val="0"/>
          <w:numId w:val="8"/>
        </w:numPr>
        <w:jc w:val="both"/>
        <w:rPr>
          <w:rFonts w:ascii="Times New Roman" w:hAnsi="Times New Roman"/>
        </w:rPr>
      </w:pPr>
      <w:r w:rsidRPr="008D474C">
        <w:rPr>
          <w:rFonts w:ascii="Times New Roman" w:hAnsi="Times New Roman"/>
        </w:rPr>
        <w:t>For grant-free</w:t>
      </w:r>
      <w:r>
        <w:rPr>
          <w:rFonts w:ascii="Times New Roman" w:hAnsi="Times New Roman"/>
        </w:rPr>
        <w:t>, contention-based</w:t>
      </w:r>
      <w:r w:rsidRPr="008D474C">
        <w:rPr>
          <w:rFonts w:ascii="Times New Roman" w:hAnsi="Times New Roman"/>
        </w:rPr>
        <w:t xml:space="preserve"> transmission</w:t>
      </w:r>
      <w:r>
        <w:rPr>
          <w:rFonts w:ascii="Times New Roman" w:hAnsi="Times New Roman"/>
        </w:rPr>
        <w:t xml:space="preserve"> with synchronized UL, </w:t>
      </w:r>
      <w:r w:rsidR="00E917AC">
        <w:rPr>
          <w:rFonts w:ascii="Times New Roman" w:hAnsi="Times New Roman"/>
        </w:rPr>
        <w:t xml:space="preserve">the re-transmissions can be grant-free as well, but the timeline for re-transmission is staggered and aligned to the symbol/slot boundary within a pre-configured contention window. </w:t>
      </w:r>
      <w:r w:rsidR="00E917AC" w:rsidRPr="00E917AC">
        <w:rPr>
          <w:rFonts w:ascii="Times New Roman" w:hAnsi="Times New Roman"/>
        </w:rPr>
        <w:t>If the initial transmission fails, the UE will use random access for re-transmission</w:t>
      </w:r>
      <w:r w:rsidR="005048E9">
        <w:rPr>
          <w:rFonts w:ascii="Times New Roman" w:hAnsi="Times New Roman"/>
        </w:rPr>
        <w:t>.</w:t>
      </w:r>
      <w:r w:rsidR="00E917AC" w:rsidRPr="00E917AC">
        <w:rPr>
          <w:rFonts w:ascii="Times New Roman" w:hAnsi="Times New Roman"/>
        </w:rPr>
        <w:t xml:space="preserve"> </w:t>
      </w:r>
    </w:p>
    <w:p w14:paraId="5DD2E6F1" w14:textId="3D8CB24B" w:rsidR="00EC381F" w:rsidRPr="00EC381F" w:rsidRDefault="009353F3" w:rsidP="00EC381F">
      <w:pPr>
        <w:pStyle w:val="ListParagraph"/>
        <w:numPr>
          <w:ilvl w:val="0"/>
          <w:numId w:val="8"/>
        </w:numPr>
        <w:jc w:val="both"/>
        <w:rPr>
          <w:rFonts w:ascii="Times New Roman" w:hAnsi="Times New Roman"/>
        </w:rPr>
      </w:pPr>
      <w:r>
        <w:rPr>
          <w:rFonts w:ascii="Times New Roman" w:hAnsi="Times New Roman"/>
        </w:rPr>
        <w:t xml:space="preserve">For </w:t>
      </w:r>
      <w:r w:rsidR="004E7DFB">
        <w:rPr>
          <w:rFonts w:ascii="Times New Roman" w:hAnsi="Times New Roman"/>
        </w:rPr>
        <w:t xml:space="preserve">grant-based and </w:t>
      </w:r>
      <w:r>
        <w:rPr>
          <w:rFonts w:ascii="Times New Roman" w:hAnsi="Times New Roman"/>
        </w:rPr>
        <w:t xml:space="preserve">semi-persistently scheduled transmission with synchronized UL, </w:t>
      </w:r>
      <w:r w:rsidR="004E7DFB">
        <w:rPr>
          <w:rFonts w:ascii="Times New Roman" w:hAnsi="Times New Roman"/>
        </w:rPr>
        <w:t xml:space="preserve">HARQ process needs to be supported. In these situations, </w:t>
      </w:r>
      <w:r w:rsidR="00EC381F">
        <w:rPr>
          <w:rFonts w:ascii="Times New Roman" w:hAnsi="Times New Roman"/>
        </w:rPr>
        <w:t>the re-transmission can take place on known occasions when the initial transmission fails.</w:t>
      </w:r>
    </w:p>
    <w:p w14:paraId="0709A73B" w14:textId="6DBA2434" w:rsidR="00967B42" w:rsidRPr="004E7DFB" w:rsidRDefault="00967B42" w:rsidP="00967B42">
      <w:pPr>
        <w:rPr>
          <w:lang w:val="en-GB"/>
        </w:rPr>
      </w:pPr>
    </w:p>
    <w:p w14:paraId="4CE3B566" w14:textId="77777777" w:rsidR="004E7DFB" w:rsidRDefault="004E7DFB" w:rsidP="004E7DFB">
      <w:pPr>
        <w:jc w:val="both"/>
        <w:rPr>
          <w:sz w:val="22"/>
        </w:rPr>
      </w:pPr>
      <w:r>
        <w:rPr>
          <w:sz w:val="22"/>
        </w:rPr>
        <w:t>Considering this, we propose the following:</w:t>
      </w:r>
    </w:p>
    <w:p w14:paraId="56B2D8BA" w14:textId="0E179A5C" w:rsidR="004E7DFB" w:rsidRPr="00A14BA5" w:rsidRDefault="004E7DFB" w:rsidP="004E7DFB">
      <w:pPr>
        <w:rPr>
          <w:b/>
          <w:i/>
          <w:sz w:val="22"/>
          <w:lang w:val="en-GB" w:eastAsia="zh-CN"/>
        </w:rPr>
      </w:pPr>
      <w:bookmarkStart w:id="8" w:name="_Hlk506506294"/>
      <w:r w:rsidRPr="00A14BA5">
        <w:rPr>
          <w:b/>
          <w:i/>
          <w:sz w:val="22"/>
          <w:highlight w:val="yellow"/>
          <w:u w:val="single"/>
          <w:lang w:val="en-GB" w:eastAsia="zh-CN"/>
        </w:rPr>
        <w:t xml:space="preserve">Proposal </w:t>
      </w:r>
      <w:r w:rsidR="00891933">
        <w:rPr>
          <w:b/>
          <w:i/>
          <w:sz w:val="22"/>
          <w:highlight w:val="yellow"/>
          <w:u w:val="single"/>
          <w:lang w:val="en-GB" w:eastAsia="zh-CN"/>
        </w:rPr>
        <w:t>10</w:t>
      </w:r>
      <w:r w:rsidRPr="00A14BA5">
        <w:rPr>
          <w:b/>
          <w:i/>
          <w:sz w:val="22"/>
          <w:lang w:val="en-GB" w:eastAsia="zh-CN"/>
        </w:rPr>
        <w:t>: For UL NOMA</w:t>
      </w:r>
      <w:r>
        <w:rPr>
          <w:b/>
          <w:i/>
          <w:sz w:val="22"/>
          <w:lang w:val="en-GB" w:eastAsia="zh-CN"/>
        </w:rPr>
        <w:t xml:space="preserve">, </w:t>
      </w:r>
      <w:r w:rsidR="00694EA5">
        <w:rPr>
          <w:b/>
          <w:i/>
          <w:sz w:val="22"/>
          <w:lang w:val="en-GB" w:eastAsia="zh-CN"/>
        </w:rPr>
        <w:t xml:space="preserve">support for </w:t>
      </w:r>
      <w:r>
        <w:rPr>
          <w:b/>
          <w:i/>
          <w:sz w:val="22"/>
          <w:lang w:val="en-GB" w:eastAsia="zh-CN"/>
        </w:rPr>
        <w:t xml:space="preserve">HARQ needs to be </w:t>
      </w:r>
      <w:r w:rsidR="00694EA5">
        <w:rPr>
          <w:b/>
          <w:i/>
          <w:sz w:val="22"/>
          <w:lang w:val="en-GB" w:eastAsia="zh-CN"/>
        </w:rPr>
        <w:t xml:space="preserve">considered </w:t>
      </w:r>
      <w:r>
        <w:rPr>
          <w:b/>
          <w:i/>
          <w:sz w:val="22"/>
          <w:lang w:val="en-GB" w:eastAsia="zh-CN"/>
        </w:rPr>
        <w:t xml:space="preserve">at least for grant-based and semi-persistently scheduled cases with synchronized UL. For grant-free and contention-based transmission, the support for HARQ is optional. </w:t>
      </w:r>
    </w:p>
    <w:bookmarkEnd w:id="8"/>
    <w:p w14:paraId="190BE132" w14:textId="77777777" w:rsidR="004E7DFB" w:rsidRPr="004E7DFB" w:rsidRDefault="004E7DFB" w:rsidP="00967B42">
      <w:pPr>
        <w:rPr>
          <w:lang w:val="en-GB"/>
        </w:rPr>
      </w:pPr>
    </w:p>
    <w:p w14:paraId="518CF076" w14:textId="00890968" w:rsidR="00A14BA5" w:rsidRDefault="00A14BA5" w:rsidP="006B6DC3">
      <w:pPr>
        <w:pStyle w:val="Heading1"/>
        <w:rPr>
          <w:lang w:val="en-US"/>
        </w:rPr>
      </w:pPr>
      <w:r>
        <w:rPr>
          <w:lang w:val="en-US"/>
        </w:rPr>
        <w:t>Conclusions</w:t>
      </w:r>
    </w:p>
    <w:p w14:paraId="7C556F28" w14:textId="77AEB0AC" w:rsidR="00A14BA5" w:rsidRDefault="00A14BA5" w:rsidP="00A14BA5">
      <w:pPr>
        <w:rPr>
          <w:sz w:val="22"/>
        </w:rPr>
      </w:pPr>
      <w:r w:rsidRPr="00A14BA5">
        <w:rPr>
          <w:sz w:val="22"/>
        </w:rPr>
        <w:t xml:space="preserve">This contribution has provided our views on the </w:t>
      </w:r>
      <w:r>
        <w:rPr>
          <w:sz w:val="22"/>
        </w:rPr>
        <w:t>procedures related to NOMA UL transmission</w:t>
      </w:r>
      <w:r w:rsidRPr="00A14BA5">
        <w:rPr>
          <w:sz w:val="22"/>
        </w:rPr>
        <w:t>. The following proposals have been made:</w:t>
      </w:r>
    </w:p>
    <w:p w14:paraId="4BAA05E7" w14:textId="77777777" w:rsidR="00A4037E" w:rsidRPr="00882BB8" w:rsidRDefault="00A4037E" w:rsidP="00A4037E">
      <w:pPr>
        <w:jc w:val="both"/>
        <w:rPr>
          <w:b/>
          <w:i/>
          <w:sz w:val="22"/>
          <w:szCs w:val="22"/>
          <w:lang w:eastAsia="zh-CN"/>
        </w:rPr>
      </w:pPr>
      <w:r w:rsidRPr="00882BB8">
        <w:rPr>
          <w:b/>
          <w:i/>
          <w:sz w:val="22"/>
          <w:szCs w:val="22"/>
          <w:highlight w:val="yellow"/>
          <w:u w:val="single"/>
        </w:rPr>
        <w:t>Proposal 1:</w:t>
      </w:r>
      <w:r w:rsidRPr="00882BB8">
        <w:rPr>
          <w:b/>
          <w:i/>
          <w:sz w:val="22"/>
          <w:szCs w:val="22"/>
          <w:lang w:eastAsia="zh-CN"/>
        </w:rPr>
        <w:t xml:space="preserve">  </w:t>
      </w:r>
      <w:r w:rsidRPr="00882BB8">
        <w:rPr>
          <w:b/>
          <w:i/>
          <w:sz w:val="22"/>
          <w:lang w:val="en-GB" w:eastAsia="zh-CN"/>
        </w:rPr>
        <w:t xml:space="preserve">NR NOMA SI should prioritize the differentiator features and benefits of different operation modes. The Tx/Rx design, link and system level performance evaluations should consider the best trade-off among the following design objectives: </w:t>
      </w:r>
    </w:p>
    <w:p w14:paraId="54B14CA7" w14:textId="77777777" w:rsidR="00A4037E" w:rsidRPr="00882BB8" w:rsidRDefault="00A4037E" w:rsidP="00A4037E">
      <w:pPr>
        <w:numPr>
          <w:ilvl w:val="0"/>
          <w:numId w:val="12"/>
        </w:numPr>
        <w:overflowPunct/>
        <w:autoSpaceDE/>
        <w:autoSpaceDN/>
        <w:adjustRightInd/>
        <w:snapToGrid w:val="0"/>
        <w:spacing w:after="100" w:afterAutospacing="1"/>
        <w:contextualSpacing/>
        <w:jc w:val="both"/>
        <w:textAlignment w:val="auto"/>
        <w:rPr>
          <w:rFonts w:eastAsia="Calibri"/>
          <w:b/>
          <w:i/>
          <w:sz w:val="22"/>
          <w:szCs w:val="22"/>
        </w:rPr>
      </w:pPr>
      <w:r w:rsidRPr="00882BB8">
        <w:rPr>
          <w:rFonts w:eastAsia="Calibri"/>
          <w:b/>
          <w:i/>
          <w:sz w:val="22"/>
          <w:szCs w:val="22"/>
          <w:lang w:val="en-GB" w:eastAsia="zh-CN"/>
        </w:rPr>
        <w:t>error performance</w:t>
      </w:r>
    </w:p>
    <w:p w14:paraId="30D6856D" w14:textId="77777777" w:rsidR="00A4037E" w:rsidRPr="00882BB8" w:rsidRDefault="00A4037E" w:rsidP="00A4037E">
      <w:pPr>
        <w:numPr>
          <w:ilvl w:val="1"/>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lang w:val="en-GB" w:eastAsia="zh-CN"/>
        </w:rPr>
        <w:t>conditioned on per UE SE and the number of multiplexing UEs</w:t>
      </w:r>
    </w:p>
    <w:p w14:paraId="30C96983" w14:textId="77777777" w:rsidR="00A4037E" w:rsidRPr="00882BB8" w:rsidRDefault="00A4037E" w:rsidP="00A4037E">
      <w:pPr>
        <w:numPr>
          <w:ilvl w:val="0"/>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lang w:eastAsia="zh-CN"/>
        </w:rPr>
        <w:t xml:space="preserve">sum throughput vs SNR for a given BLER target </w:t>
      </w:r>
    </w:p>
    <w:p w14:paraId="39E181EF" w14:textId="77777777" w:rsidR="00A4037E" w:rsidRPr="00882BB8" w:rsidRDefault="00A4037E" w:rsidP="00A4037E">
      <w:pPr>
        <w:numPr>
          <w:ilvl w:val="1"/>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lang w:eastAsia="zh-CN"/>
        </w:rPr>
        <w:t>conditioned on per UE SE and the number of multiplexing UEs</w:t>
      </w:r>
    </w:p>
    <w:p w14:paraId="1B428245" w14:textId="77777777" w:rsidR="00A4037E" w:rsidRPr="00882BB8" w:rsidRDefault="00A4037E" w:rsidP="00A4037E">
      <w:pPr>
        <w:numPr>
          <w:ilvl w:val="0"/>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lang w:val="en-GB" w:eastAsia="zh-CN"/>
        </w:rPr>
        <w:t>scalability</w:t>
      </w:r>
    </w:p>
    <w:p w14:paraId="618C5FBD" w14:textId="77777777" w:rsidR="00A4037E" w:rsidRPr="00882BB8" w:rsidRDefault="00A4037E" w:rsidP="00A4037E">
      <w:pPr>
        <w:numPr>
          <w:ilvl w:val="1"/>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lang w:eastAsia="zh-CN"/>
        </w:rPr>
        <w:t>easy a</w:t>
      </w:r>
      <w:r w:rsidRPr="00882BB8">
        <w:rPr>
          <w:rFonts w:eastAsia="Calibri"/>
          <w:b/>
          <w:i/>
          <w:sz w:val="22"/>
          <w:szCs w:val="22"/>
          <w:lang w:val="en-GB" w:eastAsia="zh-CN"/>
        </w:rPr>
        <w:t>daptation of spreading codes configuration to accommodate N NOMA UEs with spreading factor K, where N and K can be configured dynamically</w:t>
      </w:r>
    </w:p>
    <w:p w14:paraId="6141CB39" w14:textId="77777777" w:rsidR="00A4037E" w:rsidRPr="00882BB8" w:rsidRDefault="00A4037E" w:rsidP="00A4037E">
      <w:pPr>
        <w:numPr>
          <w:ilvl w:val="0"/>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lang w:val="en-GB" w:eastAsia="zh-CN"/>
        </w:rPr>
        <w:t xml:space="preserve">transceiver complexity and latency </w:t>
      </w:r>
    </w:p>
    <w:p w14:paraId="341E2353" w14:textId="77777777" w:rsidR="00A4037E" w:rsidRPr="00882BB8" w:rsidRDefault="00A4037E" w:rsidP="00A4037E">
      <w:pPr>
        <w:numPr>
          <w:ilvl w:val="1"/>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lang w:val="en-GB" w:eastAsia="zh-CN"/>
        </w:rPr>
        <w:t>transmitter side</w:t>
      </w:r>
      <w:r w:rsidRPr="00882BB8">
        <w:rPr>
          <w:rFonts w:eastAsia="Calibri"/>
          <w:b/>
          <w:i/>
          <w:sz w:val="22"/>
          <w:szCs w:val="22"/>
          <w:lang w:eastAsia="zh-CN"/>
        </w:rPr>
        <w:t xml:space="preserve"> </w:t>
      </w:r>
      <w:r w:rsidRPr="00882BB8">
        <w:rPr>
          <w:rFonts w:eastAsia="Calibri"/>
          <w:b/>
          <w:i/>
          <w:sz w:val="22"/>
          <w:szCs w:val="22"/>
          <w:lang w:val="en-GB" w:eastAsia="zh-CN"/>
        </w:rPr>
        <w:t>and receiver side processing, including computation and memory requirements for successful data decoding</w:t>
      </w:r>
    </w:p>
    <w:p w14:paraId="033DE3EC" w14:textId="77777777" w:rsidR="00A4037E" w:rsidRPr="00882BB8" w:rsidRDefault="00A4037E" w:rsidP="00A4037E">
      <w:pPr>
        <w:numPr>
          <w:ilvl w:val="1"/>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lang w:val="en-GB" w:eastAsia="zh-CN"/>
        </w:rPr>
        <w:t xml:space="preserve">latency of advanced receiver </w:t>
      </w:r>
    </w:p>
    <w:p w14:paraId="785D941F" w14:textId="77777777" w:rsidR="00A4037E" w:rsidRPr="00882BB8" w:rsidRDefault="00A4037E" w:rsidP="00A4037E">
      <w:pPr>
        <w:numPr>
          <w:ilvl w:val="0"/>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rPr>
        <w:t>flexibility</w:t>
      </w:r>
    </w:p>
    <w:p w14:paraId="39085CBB" w14:textId="77777777" w:rsidR="00A4037E" w:rsidRPr="00882BB8" w:rsidRDefault="00A4037E" w:rsidP="00A4037E">
      <w:pPr>
        <w:numPr>
          <w:ilvl w:val="1"/>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rPr>
        <w:t>joint support of DFT-s-OFDM waveform and CP-OFDM waveform</w:t>
      </w:r>
    </w:p>
    <w:p w14:paraId="10DA38E5" w14:textId="77777777" w:rsidR="00A4037E" w:rsidRPr="00882BB8" w:rsidRDefault="00A4037E" w:rsidP="00A4037E">
      <w:pPr>
        <w:numPr>
          <w:ilvl w:val="1"/>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882BB8">
        <w:rPr>
          <w:rFonts w:eastAsia="Calibri"/>
          <w:b/>
          <w:i/>
          <w:sz w:val="22"/>
          <w:szCs w:val="22"/>
        </w:rPr>
        <w:t>joint support for different operation modes and use cases</w:t>
      </w:r>
    </w:p>
    <w:p w14:paraId="1EC55D32" w14:textId="77777777" w:rsidR="00A4037E" w:rsidRPr="004A489E" w:rsidRDefault="00A4037E" w:rsidP="00A4037E">
      <w:pPr>
        <w:numPr>
          <w:ilvl w:val="0"/>
          <w:numId w:val="12"/>
        </w:numPr>
        <w:overflowPunct/>
        <w:autoSpaceDE/>
        <w:autoSpaceDN/>
        <w:adjustRightInd/>
        <w:snapToGrid w:val="0"/>
        <w:spacing w:before="100" w:beforeAutospacing="1" w:after="100" w:afterAutospacing="1"/>
        <w:contextualSpacing/>
        <w:jc w:val="both"/>
        <w:textAlignment w:val="auto"/>
        <w:rPr>
          <w:rFonts w:eastAsia="Calibri"/>
          <w:b/>
          <w:i/>
          <w:sz w:val="22"/>
          <w:szCs w:val="22"/>
        </w:rPr>
      </w:pPr>
      <w:r w:rsidRPr="004A489E">
        <w:rPr>
          <w:rFonts w:eastAsia="Calibri"/>
          <w:b/>
          <w:i/>
          <w:sz w:val="22"/>
          <w:szCs w:val="22"/>
        </w:rPr>
        <w:t>PAPR and ACLR</w:t>
      </w:r>
    </w:p>
    <w:p w14:paraId="03BCA72E" w14:textId="77777777" w:rsidR="00A4037E" w:rsidRDefault="00A4037E" w:rsidP="00A14BA5">
      <w:pPr>
        <w:rPr>
          <w:sz w:val="22"/>
        </w:rPr>
      </w:pPr>
    </w:p>
    <w:p w14:paraId="57C3685E" w14:textId="77777777" w:rsidR="00DD59EC" w:rsidRPr="0066423E" w:rsidRDefault="00DD59EC" w:rsidP="00DD59EC">
      <w:pPr>
        <w:jc w:val="both"/>
        <w:rPr>
          <w:b/>
          <w:i/>
          <w:sz w:val="22"/>
          <w:lang w:val="en-GB" w:eastAsia="zh-CN"/>
        </w:rPr>
      </w:pPr>
      <w:r w:rsidRPr="00624F7A">
        <w:rPr>
          <w:b/>
          <w:i/>
          <w:sz w:val="22"/>
          <w:highlight w:val="yellow"/>
          <w:u w:val="single"/>
          <w:lang w:val="en-GB" w:eastAsia="zh-CN"/>
        </w:rPr>
        <w:t xml:space="preserve">Proposal </w:t>
      </w:r>
      <w:r>
        <w:rPr>
          <w:b/>
          <w:i/>
          <w:sz w:val="22"/>
          <w:highlight w:val="yellow"/>
          <w:u w:val="single"/>
          <w:lang w:val="en-GB" w:eastAsia="zh-CN"/>
        </w:rPr>
        <w:t>2</w:t>
      </w:r>
      <w:r w:rsidRPr="00624F7A">
        <w:rPr>
          <w:b/>
          <w:sz w:val="22"/>
          <w:lang w:val="en-GB" w:eastAsia="zh-CN"/>
        </w:rPr>
        <w:t>:</w:t>
      </w:r>
      <w:r>
        <w:rPr>
          <w:sz w:val="22"/>
          <w:lang w:val="en-GB" w:eastAsia="zh-CN"/>
        </w:rPr>
        <w:t xml:space="preserve"> </w:t>
      </w:r>
      <w:r w:rsidRPr="00624F7A">
        <w:rPr>
          <w:b/>
          <w:i/>
          <w:sz w:val="22"/>
          <w:lang w:val="en-GB" w:eastAsia="zh-CN"/>
        </w:rPr>
        <w:t xml:space="preserve">For grant-based NOMA UL, </w:t>
      </w:r>
      <w:r>
        <w:rPr>
          <w:b/>
          <w:i/>
          <w:sz w:val="22"/>
          <w:lang w:val="en-GB" w:eastAsia="zh-CN"/>
        </w:rPr>
        <w:t>multi-layer linear hybrid spreading and scrambling scheme needs to be considered. The assignment of spreading codes, scrambling codes, time/frequency resources and MCS can be dynamically signalled to UE by PDCCH, or semi-persistently configured by RRC.</w:t>
      </w:r>
    </w:p>
    <w:p w14:paraId="7E87BAE8" w14:textId="77777777" w:rsidR="00DD59EC" w:rsidRDefault="00DD59EC" w:rsidP="00DD59EC">
      <w:pPr>
        <w:rPr>
          <w:b/>
          <w:i/>
          <w:sz w:val="22"/>
          <w:lang w:val="en-GB" w:eastAsia="zh-CN"/>
        </w:rPr>
      </w:pPr>
      <w:r>
        <w:rPr>
          <w:b/>
          <w:i/>
          <w:sz w:val="22"/>
          <w:highlight w:val="yellow"/>
          <w:u w:val="single"/>
          <w:lang w:val="en-GB" w:eastAsia="zh-CN"/>
        </w:rPr>
        <w:t>Proposal 3</w:t>
      </w:r>
      <w:r w:rsidRPr="00C73001">
        <w:rPr>
          <w:b/>
          <w:i/>
          <w:sz w:val="22"/>
          <w:highlight w:val="yellow"/>
          <w:u w:val="single"/>
          <w:lang w:val="en-GB" w:eastAsia="zh-CN"/>
        </w:rPr>
        <w:t>:</w:t>
      </w:r>
      <w:r w:rsidRPr="00C055C7">
        <w:rPr>
          <w:b/>
          <w:i/>
          <w:sz w:val="22"/>
          <w:lang w:val="en-GB" w:eastAsia="zh-CN"/>
        </w:rPr>
        <w:t xml:space="preserve">  For grant-based NOMA UL,</w:t>
      </w:r>
      <w:r w:rsidRPr="0060513A">
        <w:rPr>
          <w:b/>
          <w:i/>
          <w:sz w:val="22"/>
          <w:lang w:val="en-GB" w:eastAsia="zh-CN"/>
        </w:rPr>
        <w:t xml:space="preserve"> </w:t>
      </w:r>
      <w:r>
        <w:rPr>
          <w:b/>
          <w:i/>
          <w:sz w:val="22"/>
          <w:lang w:val="en-GB" w:eastAsia="zh-CN"/>
        </w:rPr>
        <w:t>the scrambling codes can be cell-specific or UE-specific.</w:t>
      </w:r>
    </w:p>
    <w:p w14:paraId="381A518A" w14:textId="77777777" w:rsidR="00DD59EC" w:rsidRPr="00B132FE" w:rsidRDefault="00DD59EC" w:rsidP="00DD59EC">
      <w:pPr>
        <w:rPr>
          <w:b/>
          <w:i/>
          <w:sz w:val="22"/>
          <w:lang w:val="en-GB" w:eastAsia="zh-CN"/>
        </w:rPr>
      </w:pPr>
      <w:r>
        <w:rPr>
          <w:b/>
          <w:i/>
          <w:sz w:val="22"/>
          <w:highlight w:val="yellow"/>
          <w:u w:val="single"/>
          <w:lang w:val="en-GB" w:eastAsia="zh-CN"/>
        </w:rPr>
        <w:t>Proposal 4</w:t>
      </w:r>
      <w:r w:rsidRPr="00C73001">
        <w:rPr>
          <w:b/>
          <w:i/>
          <w:sz w:val="22"/>
          <w:highlight w:val="yellow"/>
          <w:u w:val="single"/>
          <w:lang w:val="en-GB" w:eastAsia="zh-CN"/>
        </w:rPr>
        <w:t>:</w:t>
      </w:r>
      <w:r w:rsidRPr="00C055C7">
        <w:rPr>
          <w:b/>
          <w:i/>
          <w:sz w:val="22"/>
          <w:lang w:val="en-GB" w:eastAsia="zh-CN"/>
        </w:rPr>
        <w:t xml:space="preserve">  For grant-based NOMA UL,</w:t>
      </w:r>
      <w:r w:rsidRPr="0060513A">
        <w:rPr>
          <w:b/>
          <w:i/>
          <w:sz w:val="22"/>
          <w:lang w:val="en-GB" w:eastAsia="zh-CN"/>
        </w:rPr>
        <w:t xml:space="preserve"> </w:t>
      </w:r>
      <w:r>
        <w:rPr>
          <w:b/>
          <w:i/>
          <w:sz w:val="22"/>
          <w:lang w:val="en-GB" w:eastAsia="zh-CN"/>
        </w:rPr>
        <w:t xml:space="preserve">the assignment of spreading codes and scrambling codes can be symbol dependent. </w:t>
      </w:r>
    </w:p>
    <w:p w14:paraId="6C5315CA" w14:textId="77777777" w:rsidR="00DD59EC" w:rsidRDefault="00DD59EC" w:rsidP="00DD59EC">
      <w:pPr>
        <w:jc w:val="both"/>
        <w:rPr>
          <w:b/>
          <w:i/>
          <w:sz w:val="22"/>
          <w:lang w:val="en-GB" w:eastAsia="zh-CN"/>
        </w:rPr>
      </w:pPr>
      <w:r>
        <w:rPr>
          <w:b/>
          <w:i/>
          <w:sz w:val="22"/>
          <w:highlight w:val="yellow"/>
          <w:u w:val="single"/>
          <w:lang w:val="en-GB" w:eastAsia="zh-CN"/>
        </w:rPr>
        <w:t>Proposal 5</w:t>
      </w:r>
      <w:r w:rsidRPr="00C73001">
        <w:rPr>
          <w:b/>
          <w:i/>
          <w:sz w:val="22"/>
          <w:highlight w:val="yellow"/>
          <w:u w:val="single"/>
          <w:lang w:val="en-GB" w:eastAsia="zh-CN"/>
        </w:rPr>
        <w:t>:</w:t>
      </w:r>
      <w:r w:rsidRPr="00C055C7">
        <w:rPr>
          <w:b/>
          <w:i/>
          <w:sz w:val="22"/>
          <w:lang w:val="en-GB" w:eastAsia="zh-CN"/>
        </w:rPr>
        <w:t xml:space="preserve">  For grant-based NOMA UL,</w:t>
      </w:r>
      <w:r w:rsidRPr="0060513A">
        <w:rPr>
          <w:b/>
          <w:i/>
          <w:sz w:val="22"/>
          <w:lang w:val="en-GB" w:eastAsia="zh-CN"/>
        </w:rPr>
        <w:t xml:space="preserve"> </w:t>
      </w:r>
      <w:r>
        <w:rPr>
          <w:b/>
          <w:i/>
          <w:sz w:val="22"/>
          <w:lang w:val="en-GB" w:eastAsia="zh-CN"/>
        </w:rPr>
        <w:t xml:space="preserve">gNB determines the assignment of DMRS sequences. </w:t>
      </w:r>
      <w:r w:rsidRPr="002219B6">
        <w:rPr>
          <w:b/>
          <w:i/>
          <w:sz w:val="22"/>
          <w:lang w:val="en-GB" w:eastAsia="zh-CN"/>
        </w:rPr>
        <w:t>Depending on the overloading ratio of NOMA UE, both orthogonal and non-orthogonal DMRS transmission can be supported.</w:t>
      </w:r>
    </w:p>
    <w:p w14:paraId="4A77D8DF" w14:textId="77777777" w:rsidR="00DD59EC" w:rsidRDefault="00DD59EC" w:rsidP="00DD59EC">
      <w:pPr>
        <w:jc w:val="both"/>
        <w:rPr>
          <w:b/>
          <w:i/>
          <w:sz w:val="22"/>
          <w:lang w:val="en-GB" w:eastAsia="zh-CN"/>
        </w:rPr>
      </w:pPr>
      <w:r>
        <w:rPr>
          <w:b/>
          <w:i/>
          <w:sz w:val="22"/>
          <w:highlight w:val="yellow"/>
          <w:u w:val="single"/>
          <w:lang w:val="en-GB" w:eastAsia="zh-CN"/>
        </w:rPr>
        <w:t>Proposal 6</w:t>
      </w:r>
      <w:r w:rsidRPr="00C73001">
        <w:rPr>
          <w:b/>
          <w:i/>
          <w:sz w:val="22"/>
          <w:highlight w:val="yellow"/>
          <w:u w:val="single"/>
          <w:lang w:val="en-GB" w:eastAsia="zh-CN"/>
        </w:rPr>
        <w:t>:</w:t>
      </w:r>
      <w:r w:rsidRPr="00C055C7">
        <w:rPr>
          <w:b/>
          <w:i/>
          <w:sz w:val="22"/>
          <w:lang w:val="en-GB" w:eastAsia="zh-CN"/>
        </w:rPr>
        <w:t xml:space="preserve">  For grant-based NOMA UL,</w:t>
      </w:r>
      <w:r w:rsidRPr="002219B6">
        <w:rPr>
          <w:b/>
          <w:sz w:val="22"/>
          <w:lang w:val="en-GB" w:eastAsia="zh-CN"/>
        </w:rPr>
        <w:t xml:space="preserve"> </w:t>
      </w:r>
      <w:r w:rsidRPr="00B642E2">
        <w:rPr>
          <w:b/>
          <w:i/>
          <w:sz w:val="22"/>
          <w:lang w:val="en-GB" w:eastAsia="zh-CN"/>
        </w:rPr>
        <w:t xml:space="preserve">the NR Rel-15 front-loaded DMRS structure with configuration type 1 (up to 8 ports) </w:t>
      </w:r>
      <w:r>
        <w:rPr>
          <w:b/>
          <w:i/>
          <w:sz w:val="22"/>
          <w:lang w:val="en-GB" w:eastAsia="zh-CN"/>
        </w:rPr>
        <w:t>needs</w:t>
      </w:r>
      <w:r w:rsidRPr="00B642E2">
        <w:rPr>
          <w:b/>
          <w:i/>
          <w:sz w:val="22"/>
          <w:lang w:val="en-GB" w:eastAsia="zh-CN"/>
        </w:rPr>
        <w:t xml:space="preserve"> be supported for both DFT-s-OFDM and CP-OFDM waveforms.</w:t>
      </w:r>
    </w:p>
    <w:p w14:paraId="72C7D1D4" w14:textId="77777777" w:rsidR="00DD59EC" w:rsidRDefault="00DD59EC" w:rsidP="00DD59EC">
      <w:pPr>
        <w:rPr>
          <w:b/>
          <w:i/>
          <w:sz w:val="22"/>
          <w:lang w:val="en-GB" w:eastAsia="zh-CN"/>
        </w:rPr>
      </w:pPr>
      <w:r w:rsidRPr="00457235">
        <w:rPr>
          <w:b/>
          <w:i/>
          <w:sz w:val="22"/>
          <w:highlight w:val="yellow"/>
          <w:u w:val="single"/>
          <w:lang w:val="en-GB" w:eastAsia="zh-CN"/>
        </w:rPr>
        <w:t xml:space="preserve">Proposal </w:t>
      </w:r>
      <w:r>
        <w:rPr>
          <w:b/>
          <w:i/>
          <w:sz w:val="22"/>
          <w:highlight w:val="yellow"/>
          <w:u w:val="single"/>
          <w:lang w:val="en-GB" w:eastAsia="zh-CN"/>
        </w:rPr>
        <w:t>7</w:t>
      </w:r>
      <w:r>
        <w:rPr>
          <w:b/>
          <w:i/>
          <w:sz w:val="22"/>
          <w:lang w:val="en-GB" w:eastAsia="zh-CN"/>
        </w:rPr>
        <w:t xml:space="preserve">: </w:t>
      </w:r>
      <w:r w:rsidRPr="00C055C7">
        <w:rPr>
          <w:b/>
          <w:i/>
          <w:sz w:val="22"/>
          <w:lang w:val="en-GB" w:eastAsia="zh-CN"/>
        </w:rPr>
        <w:t>For grant-based NOMA UL,</w:t>
      </w:r>
      <w:r>
        <w:rPr>
          <w:b/>
          <w:i/>
          <w:sz w:val="22"/>
          <w:lang w:val="en-GB" w:eastAsia="zh-CN"/>
        </w:rPr>
        <w:t xml:space="preserve"> </w:t>
      </w:r>
      <w:r w:rsidRPr="009B3B36">
        <w:rPr>
          <w:b/>
          <w:i/>
          <w:sz w:val="22"/>
          <w:lang w:val="en-GB" w:eastAsia="zh-CN"/>
        </w:rPr>
        <w:t xml:space="preserve">larger DMRS </w:t>
      </w:r>
      <w:r>
        <w:rPr>
          <w:b/>
          <w:i/>
          <w:sz w:val="22"/>
          <w:lang w:val="en-GB" w:eastAsia="zh-CN"/>
        </w:rPr>
        <w:t>overhead can</w:t>
      </w:r>
      <w:r w:rsidRPr="009B3B36">
        <w:rPr>
          <w:b/>
          <w:i/>
          <w:sz w:val="22"/>
          <w:lang w:val="en-GB" w:eastAsia="zh-CN"/>
        </w:rPr>
        <w:t xml:space="preserve"> be supported for large overloading ratio.</w:t>
      </w:r>
    </w:p>
    <w:p w14:paraId="5AA3454F" w14:textId="77777777" w:rsidR="00DD59EC" w:rsidRPr="00A14BA5" w:rsidRDefault="00DD59EC" w:rsidP="00DD59EC">
      <w:pPr>
        <w:rPr>
          <w:b/>
          <w:i/>
          <w:sz w:val="22"/>
          <w:lang w:val="en-GB" w:eastAsia="zh-CN"/>
        </w:rPr>
      </w:pPr>
      <w:r w:rsidRPr="00A14BA5">
        <w:rPr>
          <w:b/>
          <w:i/>
          <w:sz w:val="22"/>
          <w:highlight w:val="yellow"/>
          <w:u w:val="single"/>
          <w:lang w:val="en-GB" w:eastAsia="zh-CN"/>
        </w:rPr>
        <w:t xml:space="preserve">Proposal </w:t>
      </w:r>
      <w:r>
        <w:rPr>
          <w:b/>
          <w:i/>
          <w:sz w:val="22"/>
          <w:highlight w:val="yellow"/>
          <w:u w:val="single"/>
          <w:lang w:val="en-GB" w:eastAsia="zh-CN"/>
        </w:rPr>
        <w:t>8</w:t>
      </w:r>
      <w:r w:rsidRPr="00A14BA5">
        <w:rPr>
          <w:b/>
          <w:i/>
          <w:sz w:val="22"/>
          <w:lang w:val="en-GB" w:eastAsia="zh-CN"/>
        </w:rPr>
        <w:t>: For UL DMRS transmission in grant-free NOMA:</w:t>
      </w:r>
    </w:p>
    <w:p w14:paraId="44A6C07D" w14:textId="77777777" w:rsidR="00DD59EC" w:rsidRPr="00A14BA5" w:rsidRDefault="00DD59EC" w:rsidP="00DD59EC">
      <w:pPr>
        <w:pStyle w:val="ListParagraph"/>
        <w:numPr>
          <w:ilvl w:val="0"/>
          <w:numId w:val="6"/>
        </w:numPr>
        <w:rPr>
          <w:rFonts w:ascii="Times New Roman" w:hAnsi="Times New Roman"/>
          <w:b/>
          <w:i/>
          <w:lang w:val="en-GB" w:eastAsia="zh-CN"/>
        </w:rPr>
      </w:pPr>
      <w:r w:rsidRPr="00A14BA5">
        <w:rPr>
          <w:rFonts w:ascii="Times New Roman" w:hAnsi="Times New Roman"/>
          <w:b/>
          <w:i/>
          <w:lang w:val="en-GB" w:eastAsia="zh-CN"/>
        </w:rPr>
        <w:t>front-loaded DMRS</w:t>
      </w:r>
      <w:r>
        <w:rPr>
          <w:rFonts w:ascii="Times New Roman" w:hAnsi="Times New Roman"/>
          <w:b/>
          <w:i/>
          <w:lang w:val="en-GB" w:eastAsia="zh-CN"/>
        </w:rPr>
        <w:t xml:space="preserve"> structure needs to</w:t>
      </w:r>
      <w:r w:rsidRPr="00A14BA5">
        <w:rPr>
          <w:rFonts w:ascii="Times New Roman" w:hAnsi="Times New Roman"/>
          <w:b/>
          <w:i/>
          <w:lang w:val="en-GB" w:eastAsia="zh-CN"/>
        </w:rPr>
        <w:t xml:space="preserve"> be supported;</w:t>
      </w:r>
    </w:p>
    <w:p w14:paraId="4C335E9D" w14:textId="77777777" w:rsidR="00DD59EC" w:rsidRPr="00A14BA5" w:rsidRDefault="00DD59EC" w:rsidP="00DD59EC">
      <w:pPr>
        <w:pStyle w:val="ListParagraph"/>
        <w:numPr>
          <w:ilvl w:val="0"/>
          <w:numId w:val="6"/>
        </w:numPr>
        <w:rPr>
          <w:rFonts w:ascii="Times New Roman" w:hAnsi="Times New Roman"/>
          <w:b/>
          <w:i/>
          <w:lang w:val="en-GB" w:eastAsia="zh-CN"/>
        </w:rPr>
      </w:pPr>
      <w:r w:rsidRPr="00A14BA5">
        <w:rPr>
          <w:rFonts w:ascii="Times New Roman" w:hAnsi="Times New Roman"/>
          <w:b/>
          <w:i/>
          <w:lang w:val="en-GB" w:eastAsia="zh-CN"/>
        </w:rPr>
        <w:t>larger DMRS</w:t>
      </w:r>
      <w:r>
        <w:rPr>
          <w:rFonts w:ascii="Times New Roman" w:hAnsi="Times New Roman"/>
          <w:b/>
          <w:i/>
          <w:lang w:val="en-GB" w:eastAsia="zh-CN"/>
        </w:rPr>
        <w:t xml:space="preserve"> overhead needs</w:t>
      </w:r>
      <w:r w:rsidRPr="00A14BA5">
        <w:rPr>
          <w:rFonts w:ascii="Times New Roman" w:hAnsi="Times New Roman"/>
          <w:b/>
          <w:i/>
          <w:lang w:val="en-GB" w:eastAsia="zh-CN"/>
        </w:rPr>
        <w:t xml:space="preserve"> </w:t>
      </w:r>
      <w:r>
        <w:rPr>
          <w:rFonts w:ascii="Times New Roman" w:hAnsi="Times New Roman"/>
          <w:b/>
          <w:i/>
          <w:lang w:val="en-GB" w:eastAsia="zh-CN"/>
        </w:rPr>
        <w:t xml:space="preserve">to </w:t>
      </w:r>
      <w:r w:rsidRPr="00A14BA5">
        <w:rPr>
          <w:rFonts w:ascii="Times New Roman" w:hAnsi="Times New Roman"/>
          <w:b/>
          <w:i/>
          <w:lang w:val="en-GB" w:eastAsia="zh-CN"/>
        </w:rPr>
        <w:t>be supported;</w:t>
      </w:r>
    </w:p>
    <w:p w14:paraId="69C199C1" w14:textId="77777777" w:rsidR="00DD59EC" w:rsidRPr="00A14BA5" w:rsidRDefault="00DD59EC" w:rsidP="00DD59EC">
      <w:pPr>
        <w:rPr>
          <w:b/>
          <w:i/>
          <w:lang w:val="en-GB" w:eastAsia="zh-CN"/>
        </w:rPr>
      </w:pPr>
    </w:p>
    <w:p w14:paraId="43347075" w14:textId="77777777" w:rsidR="00DD59EC" w:rsidRPr="00A14BA5" w:rsidRDefault="00DD59EC" w:rsidP="00DD59EC">
      <w:pPr>
        <w:rPr>
          <w:b/>
          <w:i/>
          <w:sz w:val="22"/>
          <w:lang w:val="en-GB" w:eastAsia="zh-CN"/>
        </w:rPr>
      </w:pPr>
      <w:r w:rsidRPr="00A14BA5">
        <w:rPr>
          <w:b/>
          <w:i/>
          <w:sz w:val="22"/>
          <w:highlight w:val="yellow"/>
          <w:u w:val="single"/>
          <w:lang w:val="en-GB" w:eastAsia="zh-CN"/>
        </w:rPr>
        <w:t xml:space="preserve">Proposal </w:t>
      </w:r>
      <w:r>
        <w:rPr>
          <w:b/>
          <w:i/>
          <w:sz w:val="22"/>
          <w:highlight w:val="yellow"/>
          <w:u w:val="single"/>
          <w:lang w:val="en-GB" w:eastAsia="zh-CN"/>
        </w:rPr>
        <w:t>9</w:t>
      </w:r>
      <w:r w:rsidRPr="00A14BA5">
        <w:rPr>
          <w:b/>
          <w:i/>
          <w:sz w:val="22"/>
          <w:lang w:val="en-GB" w:eastAsia="zh-CN"/>
        </w:rPr>
        <w:t>: For UL data transmission in grant-free NOMA:</w:t>
      </w:r>
    </w:p>
    <w:p w14:paraId="4DCB0F32" w14:textId="4AF9046E" w:rsidR="00DD59EC" w:rsidRPr="00A14BA5" w:rsidRDefault="00512971" w:rsidP="00DD59EC">
      <w:pPr>
        <w:pStyle w:val="ListParagraph"/>
        <w:numPr>
          <w:ilvl w:val="0"/>
          <w:numId w:val="7"/>
        </w:numPr>
        <w:rPr>
          <w:rFonts w:ascii="Times New Roman" w:hAnsi="Times New Roman"/>
          <w:b/>
          <w:i/>
          <w:lang w:val="en-GB" w:eastAsia="zh-CN"/>
        </w:rPr>
      </w:pPr>
      <w:r>
        <w:rPr>
          <w:rFonts w:ascii="Times New Roman" w:hAnsi="Times New Roman"/>
          <w:b/>
          <w:i/>
          <w:lang w:val="en-GB" w:eastAsia="zh-CN"/>
        </w:rPr>
        <w:t xml:space="preserve">multi-layer </w:t>
      </w:r>
      <w:r w:rsidR="00DD59EC" w:rsidRPr="00A14BA5">
        <w:rPr>
          <w:rFonts w:ascii="Times New Roman" w:hAnsi="Times New Roman"/>
          <w:b/>
          <w:i/>
          <w:lang w:val="en-GB" w:eastAsia="zh-CN"/>
        </w:rPr>
        <w:t>linea</w:t>
      </w:r>
      <w:r w:rsidR="00DD59EC">
        <w:rPr>
          <w:rFonts w:ascii="Times New Roman" w:hAnsi="Times New Roman"/>
          <w:b/>
          <w:i/>
          <w:lang w:val="en-GB" w:eastAsia="zh-CN"/>
        </w:rPr>
        <w:t>r hybrid spreading</w:t>
      </w:r>
      <w:r>
        <w:rPr>
          <w:rFonts w:ascii="Times New Roman" w:hAnsi="Times New Roman"/>
          <w:b/>
          <w:i/>
          <w:lang w:val="en-GB" w:eastAsia="zh-CN"/>
        </w:rPr>
        <w:t xml:space="preserve"> and scrambling</w:t>
      </w:r>
      <w:r w:rsidR="00DD59EC">
        <w:rPr>
          <w:rFonts w:ascii="Times New Roman" w:hAnsi="Times New Roman"/>
          <w:b/>
          <w:i/>
          <w:lang w:val="en-GB" w:eastAsia="zh-CN"/>
        </w:rPr>
        <w:t xml:space="preserve"> scheme needs to</w:t>
      </w:r>
      <w:r w:rsidR="00DD59EC" w:rsidRPr="00A14BA5">
        <w:rPr>
          <w:rFonts w:ascii="Times New Roman" w:hAnsi="Times New Roman"/>
          <w:b/>
          <w:i/>
          <w:lang w:val="en-GB" w:eastAsia="zh-CN"/>
        </w:rPr>
        <w:t xml:space="preserve"> be supported;</w:t>
      </w:r>
    </w:p>
    <w:p w14:paraId="0212D114" w14:textId="77777777" w:rsidR="00DD59EC" w:rsidRPr="00A14BA5" w:rsidRDefault="00DD59EC" w:rsidP="00DD59EC">
      <w:pPr>
        <w:pStyle w:val="ListParagraph"/>
        <w:numPr>
          <w:ilvl w:val="0"/>
          <w:numId w:val="7"/>
        </w:numPr>
        <w:rPr>
          <w:rFonts w:ascii="Times New Roman" w:hAnsi="Times New Roman"/>
          <w:b/>
          <w:i/>
          <w:lang w:val="en-GB" w:eastAsia="zh-CN"/>
        </w:rPr>
      </w:pPr>
      <w:r w:rsidRPr="00A14BA5">
        <w:rPr>
          <w:rFonts w:ascii="Times New Roman" w:hAnsi="Times New Roman"/>
          <w:b/>
          <w:i/>
          <w:lang w:val="en-GB" w:eastAsia="zh-CN"/>
        </w:rPr>
        <w:t>the receiver sensitivity</w:t>
      </w:r>
      <w:r>
        <w:rPr>
          <w:rFonts w:ascii="Times New Roman" w:hAnsi="Times New Roman"/>
          <w:b/>
          <w:i/>
          <w:lang w:val="en-GB" w:eastAsia="zh-CN"/>
        </w:rPr>
        <w:t xml:space="preserve"> to time/frequency errors needs</w:t>
      </w:r>
      <w:r w:rsidRPr="00A14BA5">
        <w:rPr>
          <w:rFonts w:ascii="Times New Roman" w:hAnsi="Times New Roman"/>
          <w:b/>
          <w:i/>
          <w:lang w:val="en-GB" w:eastAsia="zh-CN"/>
        </w:rPr>
        <w:t xml:space="preserve"> </w:t>
      </w:r>
      <w:r>
        <w:rPr>
          <w:rFonts w:ascii="Times New Roman" w:hAnsi="Times New Roman"/>
          <w:b/>
          <w:i/>
          <w:lang w:val="en-GB" w:eastAsia="zh-CN"/>
        </w:rPr>
        <w:t xml:space="preserve">to </w:t>
      </w:r>
      <w:r w:rsidRPr="00A14BA5">
        <w:rPr>
          <w:rFonts w:ascii="Times New Roman" w:hAnsi="Times New Roman"/>
          <w:b/>
          <w:i/>
          <w:lang w:val="en-GB" w:eastAsia="zh-CN"/>
        </w:rPr>
        <w:t>be considered;</w:t>
      </w:r>
    </w:p>
    <w:p w14:paraId="26EB8C90" w14:textId="699C4B2F" w:rsidR="00DD59EC" w:rsidRPr="00A14BA5" w:rsidRDefault="00DD59EC" w:rsidP="00DD59EC">
      <w:pPr>
        <w:pStyle w:val="ListParagraph"/>
        <w:numPr>
          <w:ilvl w:val="0"/>
          <w:numId w:val="7"/>
        </w:numPr>
        <w:rPr>
          <w:rFonts w:ascii="Times New Roman" w:hAnsi="Times New Roman"/>
          <w:b/>
          <w:i/>
          <w:lang w:val="en-GB" w:eastAsia="zh-CN"/>
        </w:rPr>
      </w:pPr>
      <w:r w:rsidRPr="00A14BA5">
        <w:rPr>
          <w:rFonts w:ascii="Times New Roman" w:hAnsi="Times New Roman"/>
          <w:b/>
          <w:i/>
          <w:lang w:val="en-GB" w:eastAsia="zh-CN"/>
        </w:rPr>
        <w:t xml:space="preserve">the complexity of </w:t>
      </w:r>
      <w:r w:rsidR="00A2667F">
        <w:rPr>
          <w:rFonts w:ascii="Times New Roman" w:hAnsi="Times New Roman"/>
          <w:b/>
          <w:i/>
          <w:lang w:val="en-GB" w:eastAsia="zh-CN"/>
        </w:rPr>
        <w:t xml:space="preserve">transmitter and </w:t>
      </w:r>
      <w:bookmarkStart w:id="9" w:name="_GoBack"/>
      <w:bookmarkEnd w:id="9"/>
      <w:r w:rsidRPr="00A14BA5">
        <w:rPr>
          <w:rFonts w:ascii="Times New Roman" w:hAnsi="Times New Roman"/>
          <w:b/>
          <w:i/>
          <w:lang w:val="en-GB" w:eastAsia="zh-CN"/>
        </w:rPr>
        <w:t xml:space="preserve">receiver </w:t>
      </w:r>
      <w:r>
        <w:rPr>
          <w:rFonts w:ascii="Times New Roman" w:hAnsi="Times New Roman"/>
          <w:b/>
          <w:i/>
          <w:lang w:val="en-GB" w:eastAsia="zh-CN"/>
        </w:rPr>
        <w:t>needs to be considered and used</w:t>
      </w:r>
      <w:r w:rsidRPr="00A14BA5">
        <w:rPr>
          <w:rFonts w:ascii="Times New Roman" w:hAnsi="Times New Roman"/>
          <w:b/>
          <w:i/>
          <w:lang w:val="en-GB" w:eastAsia="zh-CN"/>
        </w:rPr>
        <w:t xml:space="preserve"> as a</w:t>
      </w:r>
      <w:r>
        <w:rPr>
          <w:rFonts w:ascii="Times New Roman" w:hAnsi="Times New Roman"/>
          <w:b/>
          <w:i/>
          <w:lang w:val="en-GB" w:eastAsia="zh-CN"/>
        </w:rPr>
        <w:t>n evaluation</w:t>
      </w:r>
      <w:r w:rsidRPr="00A14BA5">
        <w:rPr>
          <w:rFonts w:ascii="Times New Roman" w:hAnsi="Times New Roman"/>
          <w:b/>
          <w:i/>
          <w:lang w:val="en-GB" w:eastAsia="zh-CN"/>
        </w:rPr>
        <w:t xml:space="preserve"> metric for different transmission schemes.</w:t>
      </w:r>
    </w:p>
    <w:p w14:paraId="04C26634" w14:textId="2A03B80B" w:rsidR="0010643F" w:rsidRDefault="0010643F" w:rsidP="00A14BA5">
      <w:pPr>
        <w:rPr>
          <w:sz w:val="22"/>
          <w:lang w:val="en-GB"/>
        </w:rPr>
      </w:pPr>
    </w:p>
    <w:p w14:paraId="70D06F0A" w14:textId="77777777" w:rsidR="00DD59EC" w:rsidRPr="00A14BA5" w:rsidRDefault="00DD59EC" w:rsidP="00DD59EC">
      <w:pPr>
        <w:rPr>
          <w:b/>
          <w:i/>
          <w:sz w:val="22"/>
          <w:lang w:val="en-GB" w:eastAsia="zh-CN"/>
        </w:rPr>
      </w:pPr>
      <w:r w:rsidRPr="00A14BA5">
        <w:rPr>
          <w:b/>
          <w:i/>
          <w:sz w:val="22"/>
          <w:highlight w:val="yellow"/>
          <w:u w:val="single"/>
          <w:lang w:val="en-GB" w:eastAsia="zh-CN"/>
        </w:rPr>
        <w:t xml:space="preserve">Proposal </w:t>
      </w:r>
      <w:r>
        <w:rPr>
          <w:b/>
          <w:i/>
          <w:sz w:val="22"/>
          <w:highlight w:val="yellow"/>
          <w:u w:val="single"/>
          <w:lang w:val="en-GB" w:eastAsia="zh-CN"/>
        </w:rPr>
        <w:t>10</w:t>
      </w:r>
      <w:r w:rsidRPr="00A14BA5">
        <w:rPr>
          <w:b/>
          <w:i/>
          <w:sz w:val="22"/>
          <w:lang w:val="en-GB" w:eastAsia="zh-CN"/>
        </w:rPr>
        <w:t>: For UL NOMA</w:t>
      </w:r>
      <w:r>
        <w:rPr>
          <w:b/>
          <w:i/>
          <w:sz w:val="22"/>
          <w:lang w:val="en-GB" w:eastAsia="zh-CN"/>
        </w:rPr>
        <w:t xml:space="preserve">, support for HARQ needs to be considered at least for grant-based and semi-persistently scheduled cases with synchronized UL. For grant-free and contention-based transmission, the support for HARQ is optional. </w:t>
      </w:r>
    </w:p>
    <w:p w14:paraId="6BB84028" w14:textId="77777777" w:rsidR="00DD59EC" w:rsidRPr="005829C6" w:rsidRDefault="00DD59EC" w:rsidP="00A14BA5">
      <w:pPr>
        <w:rPr>
          <w:sz w:val="22"/>
          <w:lang w:val="en-GB"/>
        </w:rPr>
      </w:pPr>
    </w:p>
    <w:p w14:paraId="43B7F896" w14:textId="6A22BBD6" w:rsidR="00E523F3" w:rsidRPr="000A64D8" w:rsidRDefault="00E523F3" w:rsidP="006B6DC3">
      <w:pPr>
        <w:pStyle w:val="Heading1"/>
        <w:rPr>
          <w:lang w:val="en-US"/>
        </w:rPr>
      </w:pPr>
      <w:r w:rsidRPr="000A64D8">
        <w:rPr>
          <w:lang w:val="en-US"/>
        </w:rPr>
        <w:t>References</w:t>
      </w:r>
    </w:p>
    <w:p w14:paraId="3C3886F1" w14:textId="77777777" w:rsidR="00BC7C2B" w:rsidRPr="00A62198" w:rsidRDefault="00BC7C2B" w:rsidP="00BC7C2B">
      <w:pPr>
        <w:numPr>
          <w:ilvl w:val="0"/>
          <w:numId w:val="4"/>
        </w:numPr>
        <w:jc w:val="both"/>
        <w:rPr>
          <w:rFonts w:eastAsia="MS Mincho"/>
          <w:sz w:val="22"/>
          <w:szCs w:val="22"/>
          <w:lang w:eastAsia="ja-JP"/>
        </w:rPr>
      </w:pPr>
      <w:bookmarkStart w:id="10" w:name="_Ref462859139"/>
      <w:bookmarkStart w:id="11" w:name="_Ref471479747"/>
      <w:bookmarkStart w:id="12" w:name="_Ref462921140"/>
      <w:bookmarkStart w:id="13" w:name="_Ref471480026"/>
      <w:bookmarkStart w:id="14" w:name="_Ref446333722"/>
      <w:bookmarkStart w:id="15" w:name="_Ref458067121"/>
      <w:bookmarkStart w:id="16" w:name="_Ref458093355"/>
      <w:bookmarkStart w:id="17" w:name="_Ref462751848"/>
      <w:bookmarkStart w:id="18" w:name="_Ref462859211"/>
      <w:bookmarkStart w:id="19" w:name="_Ref470450042"/>
      <w:r w:rsidRPr="00A62198">
        <w:rPr>
          <w:rFonts w:eastAsia="MS Mincho"/>
          <w:sz w:val="22"/>
          <w:szCs w:val="22"/>
          <w:lang w:eastAsia="ja-JP"/>
        </w:rPr>
        <w:t>Chairman Notes, 3GPP TSG RAN1 #84b, Busan, Korea.</w:t>
      </w:r>
    </w:p>
    <w:p w14:paraId="5F9DA89C" w14:textId="77777777" w:rsidR="00BC7C2B" w:rsidRPr="0098207E" w:rsidRDefault="00BC7C2B" w:rsidP="00BC7C2B">
      <w:pPr>
        <w:numPr>
          <w:ilvl w:val="0"/>
          <w:numId w:val="4"/>
        </w:numPr>
        <w:jc w:val="both"/>
        <w:rPr>
          <w:rFonts w:eastAsia="MS Mincho"/>
          <w:sz w:val="22"/>
          <w:szCs w:val="22"/>
          <w:lang w:eastAsia="ja-JP"/>
        </w:rPr>
      </w:pPr>
      <w:r w:rsidRPr="0098207E">
        <w:rPr>
          <w:rFonts w:eastAsia="MS Mincho"/>
          <w:sz w:val="22"/>
          <w:szCs w:val="22"/>
          <w:lang w:eastAsia="ja-JP"/>
        </w:rPr>
        <w:t>Chairman Notes, 3GPP TSG RAN #78, Lisbon, Portugal.</w:t>
      </w:r>
    </w:p>
    <w:p w14:paraId="3E5A5970" w14:textId="77777777" w:rsidR="00BC7C2B" w:rsidRPr="003D6CFC" w:rsidRDefault="00BC7C2B" w:rsidP="00BC7C2B">
      <w:pPr>
        <w:numPr>
          <w:ilvl w:val="0"/>
          <w:numId w:val="4"/>
        </w:numPr>
        <w:jc w:val="both"/>
        <w:rPr>
          <w:rFonts w:eastAsia="MS Mincho"/>
          <w:sz w:val="22"/>
          <w:szCs w:val="22"/>
          <w:lang w:eastAsia="ja-JP"/>
        </w:rPr>
      </w:pPr>
      <w:r w:rsidRPr="009418D8">
        <w:rPr>
          <w:rFonts w:eastAsia="MS Mincho"/>
          <w:sz w:val="22"/>
          <w:szCs w:val="22"/>
          <w:lang w:eastAsia="ja-JP"/>
        </w:rPr>
        <w:t>RP-171043, “</w:t>
      </w:r>
      <w:r w:rsidRPr="001E2935">
        <w:rPr>
          <w:rFonts w:eastAsia="MS Mincho"/>
          <w:sz w:val="22"/>
          <w:szCs w:val="22"/>
          <w:lang w:eastAsia="ja-JP"/>
        </w:rPr>
        <w:t xml:space="preserve">Revision of </w:t>
      </w:r>
      <w:r w:rsidRPr="001E2935">
        <w:rPr>
          <w:rFonts w:eastAsia="MS Mincho" w:hint="eastAsia"/>
          <w:sz w:val="22"/>
          <w:szCs w:val="22"/>
          <w:lang w:eastAsia="ja-JP"/>
        </w:rPr>
        <w:t xml:space="preserve">Study on </w:t>
      </w:r>
      <w:r w:rsidRPr="001E2935">
        <w:rPr>
          <w:rFonts w:eastAsia="MS Mincho"/>
          <w:sz w:val="22"/>
          <w:szCs w:val="22"/>
          <w:lang w:eastAsia="ja-JP"/>
        </w:rPr>
        <w:t>5G Non-orthogonal</w:t>
      </w:r>
      <w:r w:rsidRPr="009418D8">
        <w:rPr>
          <w:rFonts w:eastAsia="MS Mincho"/>
          <w:sz w:val="22"/>
          <w:szCs w:val="22"/>
          <w:lang w:eastAsia="ja-JP"/>
        </w:rPr>
        <w:t xml:space="preserve"> Multiple </w:t>
      </w:r>
      <w:r w:rsidRPr="001E2935">
        <w:rPr>
          <w:rFonts w:eastAsia="MS Mincho"/>
          <w:sz w:val="22"/>
          <w:szCs w:val="22"/>
          <w:lang w:eastAsia="ja-JP"/>
        </w:rPr>
        <w:t>Access”</w:t>
      </w:r>
      <w:bookmarkEnd w:id="10"/>
      <w:bookmarkEnd w:id="11"/>
      <w:bookmarkEnd w:id="12"/>
      <w:bookmarkEnd w:id="13"/>
      <w:bookmarkEnd w:id="14"/>
      <w:bookmarkEnd w:id="15"/>
      <w:bookmarkEnd w:id="16"/>
      <w:bookmarkEnd w:id="17"/>
      <w:bookmarkEnd w:id="18"/>
      <w:bookmarkEnd w:id="19"/>
      <w:r>
        <w:rPr>
          <w:rFonts w:eastAsia="MS Mincho"/>
          <w:sz w:val="22"/>
          <w:szCs w:val="22"/>
          <w:lang w:eastAsia="ja-JP"/>
        </w:rPr>
        <w:t xml:space="preserve">, </w:t>
      </w:r>
      <w:r w:rsidRPr="009418D8">
        <w:rPr>
          <w:rFonts w:eastAsia="MS Mincho"/>
          <w:sz w:val="22"/>
          <w:szCs w:val="22"/>
          <w:lang w:eastAsia="ja-JP"/>
        </w:rPr>
        <w:t>3GPP TSG RAN #76, ZTE.</w:t>
      </w:r>
    </w:p>
    <w:p w14:paraId="2B2605B1" w14:textId="77777777" w:rsidR="00BC7C2B" w:rsidRPr="00AA292B" w:rsidRDefault="00BC7C2B" w:rsidP="00BC7C2B">
      <w:pPr>
        <w:numPr>
          <w:ilvl w:val="0"/>
          <w:numId w:val="4"/>
        </w:numPr>
        <w:jc w:val="both"/>
        <w:rPr>
          <w:rFonts w:eastAsia="MS Mincho"/>
          <w:sz w:val="22"/>
          <w:szCs w:val="22"/>
          <w:lang w:eastAsia="ja-JP"/>
        </w:rPr>
      </w:pPr>
      <w:r>
        <w:rPr>
          <w:rFonts w:eastAsia="MS Mincho"/>
          <w:sz w:val="22"/>
          <w:szCs w:val="22"/>
          <w:lang w:eastAsia="ja-JP"/>
        </w:rPr>
        <w:t>R1-1803412, “Link Level Simulation Assumptions and Evaluation Metrics for NR NOMA,” ZTE</w:t>
      </w:r>
      <w:r w:rsidRPr="0063374C">
        <w:rPr>
          <w:rFonts w:eastAsia="MS Mincho"/>
          <w:sz w:val="22"/>
          <w:szCs w:val="22"/>
          <w:lang w:eastAsia="ja-JP"/>
        </w:rPr>
        <w:t>.</w:t>
      </w:r>
    </w:p>
    <w:p w14:paraId="6CB50F45" w14:textId="77777777" w:rsidR="00BC7C2B" w:rsidRPr="00B01B69" w:rsidRDefault="00BC7C2B" w:rsidP="00BC7C2B">
      <w:pPr>
        <w:numPr>
          <w:ilvl w:val="0"/>
          <w:numId w:val="4"/>
        </w:numPr>
        <w:jc w:val="both"/>
        <w:rPr>
          <w:rFonts w:eastAsia="MS Mincho"/>
          <w:sz w:val="22"/>
          <w:szCs w:val="22"/>
          <w:lang w:eastAsia="ja-JP"/>
        </w:rPr>
      </w:pPr>
      <w:r>
        <w:rPr>
          <w:rFonts w:eastAsia="MS Mincho"/>
          <w:sz w:val="22"/>
          <w:szCs w:val="22"/>
          <w:lang w:eastAsia="ja-JP"/>
        </w:rPr>
        <w:t>Chairman Notes, 3GPP TSG RAN1 #92, Athens, Greece.</w:t>
      </w:r>
    </w:p>
    <w:p w14:paraId="7917BE34" w14:textId="6EDCD657" w:rsidR="00BC7C2B" w:rsidRPr="00DF7171" w:rsidRDefault="00F06E13" w:rsidP="00BC7C2B">
      <w:pPr>
        <w:numPr>
          <w:ilvl w:val="0"/>
          <w:numId w:val="4"/>
        </w:numPr>
        <w:jc w:val="both"/>
        <w:rPr>
          <w:rFonts w:eastAsia="MS Mincho"/>
          <w:sz w:val="22"/>
          <w:szCs w:val="22"/>
          <w:lang w:eastAsia="ja-JP"/>
        </w:rPr>
      </w:pPr>
      <w:r>
        <w:rPr>
          <w:rFonts w:eastAsia="MS Mincho"/>
          <w:sz w:val="22"/>
          <w:szCs w:val="22"/>
          <w:lang w:eastAsia="ja-JP"/>
        </w:rPr>
        <w:t>R1-1802858</w:t>
      </w:r>
      <w:r w:rsidR="00BC7C2B">
        <w:rPr>
          <w:rFonts w:eastAsia="MS Mincho"/>
          <w:sz w:val="22"/>
          <w:szCs w:val="22"/>
          <w:lang w:eastAsia="ja-JP"/>
        </w:rPr>
        <w:t>, “</w:t>
      </w:r>
      <w:r w:rsidR="007839BA">
        <w:rPr>
          <w:rFonts w:eastAsia="MS Mincho"/>
          <w:sz w:val="22"/>
          <w:szCs w:val="22"/>
          <w:lang w:eastAsia="ja-JP"/>
        </w:rPr>
        <w:t>Procedures Related to NOMA</w:t>
      </w:r>
      <w:r w:rsidR="00BC7C2B">
        <w:rPr>
          <w:rFonts w:eastAsia="MS Mincho"/>
          <w:sz w:val="22"/>
          <w:szCs w:val="22"/>
          <w:lang w:eastAsia="ja-JP"/>
        </w:rPr>
        <w:t>,” Qualcomm Inc.</w:t>
      </w:r>
    </w:p>
    <w:p w14:paraId="1EE8BFB6" w14:textId="71883911" w:rsidR="00BC7C2B" w:rsidRPr="00314E03" w:rsidRDefault="00156018" w:rsidP="00BC7C2B">
      <w:pPr>
        <w:numPr>
          <w:ilvl w:val="0"/>
          <w:numId w:val="4"/>
        </w:numPr>
        <w:jc w:val="both"/>
        <w:rPr>
          <w:rFonts w:eastAsia="MS Mincho"/>
          <w:sz w:val="22"/>
          <w:szCs w:val="22"/>
          <w:lang w:eastAsia="ja-JP"/>
        </w:rPr>
      </w:pPr>
      <w:bookmarkStart w:id="20" w:name="_Hlk510618882"/>
      <w:r>
        <w:rPr>
          <w:rFonts w:eastAsia="MS Mincho"/>
          <w:sz w:val="22"/>
          <w:szCs w:val="22"/>
          <w:lang w:eastAsia="ja-JP"/>
        </w:rPr>
        <w:t>R1-1802769</w:t>
      </w:r>
      <w:r w:rsidR="00BC7C2B" w:rsidRPr="007E694D">
        <w:rPr>
          <w:rFonts w:eastAsia="MS Mincho"/>
          <w:sz w:val="22"/>
          <w:szCs w:val="22"/>
          <w:lang w:eastAsia="ja-JP"/>
        </w:rPr>
        <w:t>, “</w:t>
      </w:r>
      <w:bookmarkStart w:id="21" w:name="_Hlk510731216"/>
      <w:r>
        <w:rPr>
          <w:rFonts w:eastAsia="MS Mincho"/>
          <w:sz w:val="22"/>
          <w:szCs w:val="22"/>
          <w:lang w:eastAsia="ja-JP"/>
        </w:rPr>
        <w:t>Procedures Related to NOMA</w:t>
      </w:r>
      <w:bookmarkEnd w:id="21"/>
      <w:r w:rsidR="00BC7C2B">
        <w:rPr>
          <w:rFonts w:eastAsia="MS Mincho"/>
          <w:sz w:val="22"/>
          <w:szCs w:val="22"/>
          <w:lang w:eastAsia="ja-JP"/>
        </w:rPr>
        <w:t>,” Ericsson</w:t>
      </w:r>
      <w:r w:rsidR="00BC7C2B" w:rsidRPr="007E694D">
        <w:rPr>
          <w:rFonts w:eastAsia="MS Mincho"/>
          <w:sz w:val="22"/>
          <w:szCs w:val="22"/>
          <w:lang w:eastAsia="ja-JP"/>
        </w:rPr>
        <w:t>.</w:t>
      </w:r>
    </w:p>
    <w:p w14:paraId="620F7578" w14:textId="2A796ABE" w:rsidR="00BC7C2B" w:rsidRPr="00B13CCF" w:rsidRDefault="009A74B7" w:rsidP="00BC7C2B">
      <w:pPr>
        <w:numPr>
          <w:ilvl w:val="0"/>
          <w:numId w:val="4"/>
        </w:numPr>
        <w:jc w:val="both"/>
        <w:rPr>
          <w:rFonts w:eastAsia="MS Mincho"/>
          <w:sz w:val="22"/>
          <w:szCs w:val="22"/>
          <w:lang w:eastAsia="ja-JP"/>
        </w:rPr>
      </w:pPr>
      <w:r>
        <w:rPr>
          <w:rFonts w:eastAsia="MS Mincho"/>
          <w:sz w:val="22"/>
          <w:szCs w:val="22"/>
          <w:lang w:eastAsia="ja-JP"/>
        </w:rPr>
        <w:t>R1-1801417</w:t>
      </w:r>
      <w:r w:rsidR="00BC7C2B" w:rsidRPr="007E694D">
        <w:rPr>
          <w:rFonts w:eastAsia="MS Mincho"/>
          <w:sz w:val="22"/>
          <w:szCs w:val="22"/>
          <w:lang w:eastAsia="ja-JP"/>
        </w:rPr>
        <w:t>, “</w:t>
      </w:r>
      <w:r>
        <w:rPr>
          <w:rFonts w:eastAsia="MS Mincho"/>
          <w:sz w:val="22"/>
          <w:szCs w:val="22"/>
          <w:lang w:eastAsia="ja-JP"/>
        </w:rPr>
        <w:t>Procedures Related to NOMA</w:t>
      </w:r>
      <w:r w:rsidR="00BC7C2B" w:rsidRPr="007E694D">
        <w:rPr>
          <w:rFonts w:eastAsia="MS Mincho"/>
          <w:sz w:val="22"/>
          <w:szCs w:val="22"/>
          <w:lang w:eastAsia="ja-JP"/>
        </w:rPr>
        <w:t>,”</w:t>
      </w:r>
      <w:r w:rsidR="00BC7C2B">
        <w:rPr>
          <w:rFonts w:eastAsia="MS Mincho"/>
          <w:sz w:val="22"/>
          <w:szCs w:val="22"/>
          <w:lang w:eastAsia="ja-JP"/>
        </w:rPr>
        <w:t xml:space="preserve"> ZTE</w:t>
      </w:r>
      <w:r w:rsidR="00BC7C2B" w:rsidRPr="007E694D">
        <w:rPr>
          <w:rFonts w:eastAsia="MS Mincho"/>
          <w:sz w:val="22"/>
          <w:szCs w:val="22"/>
          <w:lang w:eastAsia="ja-JP"/>
        </w:rPr>
        <w:t>.</w:t>
      </w:r>
      <w:bookmarkEnd w:id="20"/>
    </w:p>
    <w:p w14:paraId="061A59F5" w14:textId="0B157890" w:rsidR="00BC7C2B" w:rsidRDefault="00762A6A" w:rsidP="00BC7C2B">
      <w:pPr>
        <w:numPr>
          <w:ilvl w:val="0"/>
          <w:numId w:val="4"/>
        </w:numPr>
        <w:jc w:val="both"/>
        <w:rPr>
          <w:rFonts w:eastAsia="MS Mincho"/>
          <w:sz w:val="22"/>
          <w:szCs w:val="22"/>
          <w:lang w:eastAsia="ja-JP"/>
        </w:rPr>
      </w:pPr>
      <w:r>
        <w:rPr>
          <w:rFonts w:eastAsia="MS Mincho"/>
          <w:sz w:val="22"/>
          <w:szCs w:val="22"/>
          <w:lang w:eastAsia="ja-JP"/>
        </w:rPr>
        <w:t>R1-1802231</w:t>
      </w:r>
      <w:r w:rsidR="00BC7C2B" w:rsidRPr="007E694D">
        <w:rPr>
          <w:rFonts w:eastAsia="MS Mincho"/>
          <w:sz w:val="22"/>
          <w:szCs w:val="22"/>
          <w:lang w:eastAsia="ja-JP"/>
        </w:rPr>
        <w:t>, “</w:t>
      </w:r>
      <w:r w:rsidR="00AE1F58">
        <w:rPr>
          <w:rFonts w:eastAsia="MS Mincho"/>
          <w:sz w:val="22"/>
          <w:szCs w:val="22"/>
          <w:lang w:eastAsia="ja-JP"/>
        </w:rPr>
        <w:t>Procedures Related to NOMA</w:t>
      </w:r>
      <w:r w:rsidR="00BC7C2B" w:rsidRPr="007E694D">
        <w:rPr>
          <w:rFonts w:eastAsia="MS Mincho"/>
          <w:sz w:val="22"/>
          <w:szCs w:val="22"/>
          <w:lang w:eastAsia="ja-JP"/>
        </w:rPr>
        <w:t>,” LG Electronics.</w:t>
      </w:r>
    </w:p>
    <w:p w14:paraId="3BF9CBEB" w14:textId="57E9611A" w:rsidR="00BC7C2B" w:rsidRPr="00BB7481" w:rsidRDefault="00BC7C2B" w:rsidP="00BC7C2B">
      <w:pPr>
        <w:numPr>
          <w:ilvl w:val="0"/>
          <w:numId w:val="4"/>
        </w:numPr>
        <w:jc w:val="both"/>
        <w:rPr>
          <w:rFonts w:eastAsia="MS Mincho"/>
          <w:sz w:val="22"/>
          <w:szCs w:val="22"/>
          <w:lang w:eastAsia="ja-JP"/>
        </w:rPr>
      </w:pPr>
      <w:r w:rsidRPr="005E01A7">
        <w:rPr>
          <w:rFonts w:eastAsia="MS Mincho"/>
          <w:sz w:val="22"/>
          <w:szCs w:val="22"/>
          <w:lang w:eastAsia="ja-JP"/>
        </w:rPr>
        <w:t>R1-1801889, “</w:t>
      </w:r>
      <w:r w:rsidR="009D15FC">
        <w:rPr>
          <w:rFonts w:eastAsia="MS Mincho"/>
          <w:sz w:val="22"/>
          <w:szCs w:val="22"/>
          <w:lang w:eastAsia="ja-JP"/>
        </w:rPr>
        <w:t>Procedures Related to NOMA</w:t>
      </w:r>
      <w:r w:rsidRPr="005E01A7">
        <w:rPr>
          <w:rFonts w:eastAsia="MS Mincho"/>
          <w:sz w:val="22"/>
          <w:szCs w:val="22"/>
          <w:lang w:eastAsia="ja-JP"/>
        </w:rPr>
        <w:t xml:space="preserve">,” Hughes Network. </w:t>
      </w:r>
    </w:p>
    <w:p w14:paraId="7910CDE2" w14:textId="4C6898B4" w:rsidR="00BC7C2B" w:rsidRDefault="009D15FC" w:rsidP="00BC7C2B">
      <w:pPr>
        <w:numPr>
          <w:ilvl w:val="0"/>
          <w:numId w:val="4"/>
        </w:numPr>
        <w:jc w:val="both"/>
        <w:rPr>
          <w:rFonts w:eastAsia="MS Mincho"/>
          <w:sz w:val="22"/>
          <w:szCs w:val="22"/>
          <w:lang w:eastAsia="ja-JP"/>
        </w:rPr>
      </w:pPr>
      <w:r>
        <w:rPr>
          <w:rFonts w:eastAsia="MS Mincho"/>
          <w:sz w:val="22"/>
          <w:szCs w:val="22"/>
          <w:lang w:eastAsia="ja-JP"/>
        </w:rPr>
        <w:t>R1-1802499</w:t>
      </w:r>
      <w:r w:rsidR="00BC7C2B" w:rsidRPr="007E694D">
        <w:rPr>
          <w:rFonts w:eastAsia="MS Mincho"/>
          <w:sz w:val="22"/>
          <w:szCs w:val="22"/>
          <w:lang w:eastAsia="ja-JP"/>
        </w:rPr>
        <w:t>, “</w:t>
      </w:r>
      <w:r>
        <w:rPr>
          <w:rFonts w:eastAsia="MS Mincho"/>
          <w:sz w:val="22"/>
          <w:szCs w:val="22"/>
          <w:lang w:eastAsia="ja-JP"/>
        </w:rPr>
        <w:t>Procedures Related to NOMA</w:t>
      </w:r>
      <w:r w:rsidR="00BC7C2B" w:rsidRPr="007E694D">
        <w:rPr>
          <w:rFonts w:eastAsia="MS Mincho"/>
          <w:sz w:val="22"/>
          <w:szCs w:val="22"/>
          <w:lang w:eastAsia="ja-JP"/>
        </w:rPr>
        <w:t>,”</w:t>
      </w:r>
      <w:r w:rsidR="00BC7C2B">
        <w:rPr>
          <w:rFonts w:eastAsia="MS Mincho"/>
          <w:sz w:val="22"/>
          <w:szCs w:val="22"/>
          <w:lang w:eastAsia="ja-JP"/>
        </w:rPr>
        <w:t xml:space="preserve"> NTT DOCOMO</w:t>
      </w:r>
      <w:r w:rsidR="00BC7C2B" w:rsidRPr="007E694D">
        <w:rPr>
          <w:rFonts w:eastAsia="MS Mincho"/>
          <w:sz w:val="22"/>
          <w:szCs w:val="22"/>
          <w:lang w:eastAsia="ja-JP"/>
        </w:rPr>
        <w:t>.</w:t>
      </w:r>
    </w:p>
    <w:p w14:paraId="14B75D4D" w14:textId="7DBFFF8A" w:rsidR="00BC7C2B" w:rsidRDefault="00924170" w:rsidP="00BC7C2B">
      <w:pPr>
        <w:numPr>
          <w:ilvl w:val="0"/>
          <w:numId w:val="4"/>
        </w:numPr>
        <w:jc w:val="both"/>
        <w:rPr>
          <w:rFonts w:eastAsia="MS Mincho"/>
          <w:sz w:val="22"/>
          <w:szCs w:val="22"/>
          <w:lang w:eastAsia="ja-JP"/>
        </w:rPr>
      </w:pPr>
      <w:r>
        <w:rPr>
          <w:rFonts w:eastAsia="MS Mincho"/>
          <w:sz w:val="22"/>
          <w:szCs w:val="22"/>
          <w:lang w:eastAsia="ja-JP"/>
        </w:rPr>
        <w:t>R1-1802427</w:t>
      </w:r>
      <w:r w:rsidR="00BC7C2B" w:rsidRPr="007E694D">
        <w:rPr>
          <w:rFonts w:eastAsia="MS Mincho"/>
          <w:sz w:val="22"/>
          <w:szCs w:val="22"/>
          <w:lang w:eastAsia="ja-JP"/>
        </w:rPr>
        <w:t>, “</w:t>
      </w:r>
      <w:bookmarkStart w:id="22" w:name="_Hlk510731747"/>
      <w:r>
        <w:rPr>
          <w:rFonts w:eastAsia="MS Mincho"/>
          <w:sz w:val="22"/>
          <w:szCs w:val="22"/>
          <w:lang w:eastAsia="ja-JP"/>
        </w:rPr>
        <w:t>Procedures Related to NOMA</w:t>
      </w:r>
      <w:bookmarkEnd w:id="22"/>
      <w:r w:rsidR="00BC7C2B" w:rsidRPr="007E694D">
        <w:rPr>
          <w:rFonts w:eastAsia="MS Mincho"/>
          <w:sz w:val="22"/>
          <w:szCs w:val="22"/>
          <w:lang w:eastAsia="ja-JP"/>
        </w:rPr>
        <w:t>,”</w:t>
      </w:r>
      <w:r w:rsidR="00BC7C2B">
        <w:rPr>
          <w:rFonts w:eastAsia="MS Mincho"/>
          <w:sz w:val="22"/>
          <w:szCs w:val="22"/>
          <w:lang w:eastAsia="ja-JP"/>
        </w:rPr>
        <w:t xml:space="preserve"> Intel Inc</w:t>
      </w:r>
      <w:r w:rsidR="00BC7C2B" w:rsidRPr="007E694D">
        <w:rPr>
          <w:rFonts w:eastAsia="MS Mincho"/>
          <w:sz w:val="22"/>
          <w:szCs w:val="22"/>
          <w:lang w:eastAsia="ja-JP"/>
        </w:rPr>
        <w:t>.</w:t>
      </w:r>
    </w:p>
    <w:p w14:paraId="1472A63E" w14:textId="432C09E4" w:rsidR="00BC7C2B" w:rsidRDefault="000C1D27" w:rsidP="00BC7C2B">
      <w:pPr>
        <w:numPr>
          <w:ilvl w:val="0"/>
          <w:numId w:val="4"/>
        </w:numPr>
        <w:jc w:val="both"/>
        <w:rPr>
          <w:rFonts w:eastAsia="MS Mincho"/>
          <w:sz w:val="22"/>
          <w:szCs w:val="22"/>
          <w:lang w:eastAsia="ja-JP"/>
        </w:rPr>
      </w:pPr>
      <w:r>
        <w:rPr>
          <w:rFonts w:eastAsia="MS Mincho"/>
          <w:sz w:val="22"/>
          <w:szCs w:val="22"/>
          <w:lang w:eastAsia="ja-JP"/>
        </w:rPr>
        <w:t>R1-1802635</w:t>
      </w:r>
      <w:r w:rsidR="00BC7C2B" w:rsidRPr="007E694D">
        <w:rPr>
          <w:rFonts w:eastAsia="MS Mincho"/>
          <w:sz w:val="22"/>
          <w:szCs w:val="22"/>
          <w:lang w:eastAsia="ja-JP"/>
        </w:rPr>
        <w:t>, “</w:t>
      </w:r>
      <w:r w:rsidR="003446AB">
        <w:rPr>
          <w:rFonts w:eastAsia="MS Mincho"/>
          <w:sz w:val="22"/>
          <w:szCs w:val="22"/>
          <w:lang w:eastAsia="ja-JP"/>
        </w:rPr>
        <w:t>Procedures Related to NOMA</w:t>
      </w:r>
      <w:r w:rsidR="00BC7C2B" w:rsidRPr="007E694D">
        <w:rPr>
          <w:rFonts w:eastAsia="MS Mincho"/>
          <w:sz w:val="22"/>
          <w:szCs w:val="22"/>
          <w:lang w:eastAsia="ja-JP"/>
        </w:rPr>
        <w:t>,”</w:t>
      </w:r>
      <w:r w:rsidR="00BC7C2B">
        <w:rPr>
          <w:rFonts w:eastAsia="MS Mincho"/>
          <w:sz w:val="22"/>
          <w:szCs w:val="22"/>
          <w:lang w:eastAsia="ja-JP"/>
        </w:rPr>
        <w:t xml:space="preserve"> InterDigital Inc</w:t>
      </w:r>
      <w:r w:rsidR="00BC7C2B" w:rsidRPr="007E694D">
        <w:rPr>
          <w:rFonts w:eastAsia="MS Mincho"/>
          <w:sz w:val="22"/>
          <w:szCs w:val="22"/>
          <w:lang w:eastAsia="ja-JP"/>
        </w:rPr>
        <w:t>.</w:t>
      </w:r>
    </w:p>
    <w:p w14:paraId="0D605A3D" w14:textId="7AA2AB7C" w:rsidR="00BC7C2B" w:rsidRDefault="00AF4E93" w:rsidP="00BC7C2B">
      <w:pPr>
        <w:numPr>
          <w:ilvl w:val="0"/>
          <w:numId w:val="4"/>
        </w:numPr>
        <w:jc w:val="both"/>
        <w:rPr>
          <w:rFonts w:eastAsia="MS Mincho"/>
          <w:sz w:val="22"/>
          <w:szCs w:val="22"/>
          <w:lang w:eastAsia="ja-JP"/>
        </w:rPr>
      </w:pPr>
      <w:r>
        <w:rPr>
          <w:rFonts w:eastAsia="MS Mincho"/>
          <w:sz w:val="22"/>
          <w:szCs w:val="22"/>
          <w:lang w:eastAsia="ja-JP"/>
        </w:rPr>
        <w:t>R1-1802007</w:t>
      </w:r>
      <w:r w:rsidR="00BC7C2B" w:rsidRPr="007E694D">
        <w:rPr>
          <w:rFonts w:eastAsia="MS Mincho"/>
          <w:sz w:val="22"/>
          <w:szCs w:val="22"/>
          <w:lang w:eastAsia="ja-JP"/>
        </w:rPr>
        <w:t>, “</w:t>
      </w:r>
      <w:r>
        <w:rPr>
          <w:rFonts w:eastAsia="MS Mincho"/>
          <w:sz w:val="22"/>
          <w:szCs w:val="22"/>
          <w:lang w:eastAsia="ja-JP"/>
        </w:rPr>
        <w:t>Procedures Related to NOMA</w:t>
      </w:r>
      <w:r w:rsidR="00BC7C2B" w:rsidRPr="007E694D">
        <w:rPr>
          <w:rFonts w:eastAsia="MS Mincho"/>
          <w:sz w:val="22"/>
          <w:szCs w:val="22"/>
          <w:lang w:eastAsia="ja-JP"/>
        </w:rPr>
        <w:t>,”</w:t>
      </w:r>
      <w:r w:rsidR="00BC7C2B">
        <w:rPr>
          <w:rFonts w:eastAsia="MS Mincho"/>
          <w:sz w:val="22"/>
          <w:szCs w:val="22"/>
          <w:lang w:eastAsia="ja-JP"/>
        </w:rPr>
        <w:t xml:space="preserve"> Samsung</w:t>
      </w:r>
      <w:r w:rsidR="00BC7C2B" w:rsidRPr="007E694D">
        <w:rPr>
          <w:rFonts w:eastAsia="MS Mincho"/>
          <w:sz w:val="22"/>
          <w:szCs w:val="22"/>
          <w:lang w:eastAsia="ja-JP"/>
        </w:rPr>
        <w:t>.</w:t>
      </w:r>
    </w:p>
    <w:p w14:paraId="4472951A" w14:textId="5B6A6BF4" w:rsidR="00BC7C2B" w:rsidRPr="00DA5AA7" w:rsidRDefault="00B71FD5" w:rsidP="00BC7C2B">
      <w:pPr>
        <w:numPr>
          <w:ilvl w:val="0"/>
          <w:numId w:val="4"/>
        </w:numPr>
        <w:jc w:val="both"/>
        <w:rPr>
          <w:rFonts w:eastAsia="MS Mincho"/>
          <w:sz w:val="22"/>
          <w:szCs w:val="22"/>
          <w:lang w:eastAsia="ja-JP"/>
        </w:rPr>
      </w:pPr>
      <w:r>
        <w:rPr>
          <w:rFonts w:eastAsia="MS Mincho"/>
          <w:sz w:val="22"/>
          <w:szCs w:val="22"/>
          <w:lang w:eastAsia="ja-JP"/>
        </w:rPr>
        <w:t>R1-1802029</w:t>
      </w:r>
      <w:r w:rsidR="00BC7C2B" w:rsidRPr="00DA5AA7">
        <w:rPr>
          <w:rFonts w:eastAsia="MS Mincho"/>
          <w:sz w:val="22"/>
          <w:szCs w:val="22"/>
          <w:lang w:eastAsia="ja-JP"/>
        </w:rPr>
        <w:t>, “</w:t>
      </w:r>
      <w:r>
        <w:rPr>
          <w:rFonts w:eastAsia="MS Mincho"/>
          <w:sz w:val="22"/>
          <w:szCs w:val="22"/>
          <w:lang w:eastAsia="ja-JP"/>
        </w:rPr>
        <w:t>Procedures Related to NOMA</w:t>
      </w:r>
      <w:r w:rsidR="00BC7C2B" w:rsidRPr="00DA5AA7">
        <w:rPr>
          <w:rFonts w:eastAsia="MS Mincho"/>
          <w:sz w:val="22"/>
          <w:szCs w:val="22"/>
          <w:lang w:eastAsia="ja-JP"/>
        </w:rPr>
        <w:t>,” Nokia.</w:t>
      </w:r>
    </w:p>
    <w:p w14:paraId="35E632F5" w14:textId="7D6F1772" w:rsidR="00BC7C2B" w:rsidRPr="00DA5AA7" w:rsidRDefault="00F61D8F" w:rsidP="00BC7C2B">
      <w:pPr>
        <w:numPr>
          <w:ilvl w:val="0"/>
          <w:numId w:val="4"/>
        </w:numPr>
        <w:jc w:val="both"/>
        <w:rPr>
          <w:rFonts w:eastAsia="MS Mincho"/>
          <w:sz w:val="22"/>
          <w:szCs w:val="22"/>
          <w:lang w:eastAsia="ja-JP"/>
        </w:rPr>
      </w:pPr>
      <w:r>
        <w:rPr>
          <w:rFonts w:eastAsia="MS Mincho"/>
          <w:sz w:val="22"/>
          <w:szCs w:val="22"/>
          <w:lang w:eastAsia="ja-JP"/>
        </w:rPr>
        <w:t>R1-1802094</w:t>
      </w:r>
      <w:r w:rsidR="00BC7C2B" w:rsidRPr="00DA5AA7">
        <w:rPr>
          <w:rFonts w:eastAsia="MS Mincho"/>
          <w:sz w:val="22"/>
          <w:szCs w:val="22"/>
          <w:lang w:eastAsia="ja-JP"/>
        </w:rPr>
        <w:t>, “</w:t>
      </w:r>
      <w:r>
        <w:rPr>
          <w:rFonts w:eastAsia="MS Mincho"/>
          <w:sz w:val="22"/>
          <w:szCs w:val="22"/>
          <w:lang w:eastAsia="ja-JP"/>
        </w:rPr>
        <w:t>Procedures Related to NOMA,” ITRI</w:t>
      </w:r>
      <w:r w:rsidR="00BC7C2B" w:rsidRPr="00DA5AA7">
        <w:rPr>
          <w:rFonts w:eastAsia="MS Mincho"/>
          <w:sz w:val="22"/>
          <w:szCs w:val="22"/>
          <w:lang w:eastAsia="ja-JP"/>
        </w:rPr>
        <w:t>.</w:t>
      </w:r>
    </w:p>
    <w:p w14:paraId="5B3DB90B" w14:textId="7AF142B6" w:rsidR="00BC7C2B" w:rsidRPr="00DA5AA7" w:rsidRDefault="00506FA2" w:rsidP="00BC7C2B">
      <w:pPr>
        <w:numPr>
          <w:ilvl w:val="0"/>
          <w:numId w:val="4"/>
        </w:numPr>
        <w:jc w:val="both"/>
        <w:rPr>
          <w:rFonts w:eastAsia="MS Mincho"/>
          <w:sz w:val="22"/>
          <w:szCs w:val="22"/>
          <w:lang w:eastAsia="ja-JP"/>
        </w:rPr>
      </w:pPr>
      <w:r>
        <w:rPr>
          <w:rFonts w:eastAsia="MS Mincho"/>
          <w:sz w:val="22"/>
          <w:szCs w:val="22"/>
          <w:lang w:eastAsia="ja-JP"/>
        </w:rPr>
        <w:t>R1-1801363</w:t>
      </w:r>
      <w:r w:rsidR="00BC7C2B" w:rsidRPr="00DA5AA7">
        <w:rPr>
          <w:rFonts w:eastAsia="MS Mincho"/>
          <w:sz w:val="22"/>
          <w:szCs w:val="22"/>
          <w:lang w:eastAsia="ja-JP"/>
        </w:rPr>
        <w:t>, “</w:t>
      </w:r>
      <w:r>
        <w:rPr>
          <w:rFonts w:eastAsia="MS Mincho"/>
          <w:sz w:val="22"/>
          <w:szCs w:val="22"/>
          <w:lang w:eastAsia="ja-JP"/>
        </w:rPr>
        <w:t>Procedures Related to NOMA</w:t>
      </w:r>
      <w:r w:rsidR="00BC7C2B" w:rsidRPr="00DA5AA7">
        <w:rPr>
          <w:rFonts w:eastAsia="MS Mincho"/>
          <w:sz w:val="22"/>
          <w:szCs w:val="22"/>
          <w:lang w:eastAsia="ja-JP"/>
        </w:rPr>
        <w:t>,” Huawei.</w:t>
      </w:r>
    </w:p>
    <w:p w14:paraId="69F0C53E" w14:textId="4DB5B1BA" w:rsidR="00BC7C2B" w:rsidRPr="00DA5AA7" w:rsidRDefault="00BC7C2B" w:rsidP="00BC7C2B">
      <w:pPr>
        <w:numPr>
          <w:ilvl w:val="0"/>
          <w:numId w:val="4"/>
        </w:numPr>
        <w:jc w:val="both"/>
        <w:rPr>
          <w:rFonts w:eastAsia="MS Mincho"/>
          <w:sz w:val="22"/>
          <w:szCs w:val="22"/>
          <w:lang w:eastAsia="ja-JP"/>
        </w:rPr>
      </w:pPr>
      <w:r w:rsidRPr="00DA5AA7">
        <w:rPr>
          <w:rFonts w:eastAsia="MS Mincho"/>
          <w:sz w:val="22"/>
          <w:szCs w:val="22"/>
          <w:lang w:eastAsia="ja-JP"/>
        </w:rPr>
        <w:t>R1-18017</w:t>
      </w:r>
      <w:r w:rsidR="00CB46D9">
        <w:rPr>
          <w:rFonts w:eastAsia="MS Mincho"/>
          <w:sz w:val="22"/>
          <w:szCs w:val="22"/>
          <w:lang w:eastAsia="ja-JP"/>
        </w:rPr>
        <w:t>55</w:t>
      </w:r>
      <w:r w:rsidRPr="00DA5AA7">
        <w:rPr>
          <w:rFonts w:eastAsia="MS Mincho"/>
          <w:sz w:val="22"/>
          <w:szCs w:val="22"/>
          <w:lang w:eastAsia="ja-JP"/>
        </w:rPr>
        <w:t>, “</w:t>
      </w:r>
      <w:r w:rsidR="00CB46D9">
        <w:rPr>
          <w:rFonts w:eastAsia="MS Mincho"/>
          <w:sz w:val="22"/>
          <w:szCs w:val="22"/>
          <w:lang w:eastAsia="ja-JP"/>
        </w:rPr>
        <w:t>Procedures Related to NOMA</w:t>
      </w:r>
      <w:r w:rsidRPr="00DA5AA7">
        <w:rPr>
          <w:rFonts w:eastAsia="MS Mincho"/>
          <w:sz w:val="22"/>
          <w:szCs w:val="22"/>
          <w:lang w:eastAsia="ja-JP"/>
        </w:rPr>
        <w:t>,” CATT.</w:t>
      </w:r>
    </w:p>
    <w:p w14:paraId="293B1CF4" w14:textId="77777777" w:rsidR="00BC7C2B" w:rsidRPr="000A7E54" w:rsidRDefault="00BC7C2B" w:rsidP="00BC7C2B">
      <w:pPr>
        <w:numPr>
          <w:ilvl w:val="0"/>
          <w:numId w:val="4"/>
        </w:numPr>
        <w:jc w:val="both"/>
        <w:rPr>
          <w:rFonts w:eastAsia="MS Mincho"/>
          <w:sz w:val="22"/>
          <w:szCs w:val="22"/>
          <w:lang w:eastAsia="ja-JP"/>
        </w:rPr>
      </w:pPr>
      <w:r>
        <w:rPr>
          <w:rFonts w:eastAsia="MS Mincho"/>
          <w:sz w:val="22"/>
          <w:szCs w:val="22"/>
          <w:lang w:eastAsia="ja-JP"/>
        </w:rPr>
        <w:t>R1-1801413, “Draft S</w:t>
      </w:r>
      <w:r w:rsidRPr="006A25F7">
        <w:rPr>
          <w:rFonts w:eastAsia="MS Mincho"/>
          <w:sz w:val="22"/>
          <w:szCs w:val="22"/>
          <w:lang w:eastAsia="ja-JP"/>
        </w:rPr>
        <w:t>keleton of TR 38.812 (NOMA)</w:t>
      </w:r>
      <w:r>
        <w:rPr>
          <w:rFonts w:eastAsia="MS Mincho"/>
          <w:sz w:val="22"/>
          <w:szCs w:val="22"/>
          <w:lang w:eastAsia="ja-JP"/>
        </w:rPr>
        <w:t>,” ZTE</w:t>
      </w:r>
      <w:r w:rsidRPr="0063374C">
        <w:rPr>
          <w:rFonts w:eastAsia="MS Mincho"/>
          <w:sz w:val="22"/>
          <w:szCs w:val="22"/>
          <w:lang w:eastAsia="ja-JP"/>
        </w:rPr>
        <w:t>.</w:t>
      </w:r>
    </w:p>
    <w:p w14:paraId="37F24938" w14:textId="77777777" w:rsidR="00BC7C2B" w:rsidRDefault="00BC7C2B" w:rsidP="00BC7C2B">
      <w:pPr>
        <w:numPr>
          <w:ilvl w:val="0"/>
          <w:numId w:val="4"/>
        </w:numPr>
        <w:jc w:val="both"/>
        <w:rPr>
          <w:rFonts w:eastAsia="MS Mincho"/>
          <w:sz w:val="22"/>
          <w:szCs w:val="22"/>
          <w:lang w:eastAsia="ja-JP"/>
        </w:rPr>
      </w:pPr>
      <w:r>
        <w:rPr>
          <w:rFonts w:eastAsia="MS Mincho"/>
          <w:sz w:val="22"/>
          <w:szCs w:val="22"/>
          <w:lang w:eastAsia="ja-JP"/>
        </w:rPr>
        <w:t>R1-1804823, “Transmitter Side Signal Processing Schemes for NOMA,” Qualcomm Inc.</w:t>
      </w:r>
    </w:p>
    <w:p w14:paraId="64EFC3A1" w14:textId="0A587CB7" w:rsidR="00BC7C2B" w:rsidRDefault="00BC7C2B" w:rsidP="00BC7C2B">
      <w:pPr>
        <w:numPr>
          <w:ilvl w:val="0"/>
          <w:numId w:val="4"/>
        </w:numPr>
        <w:jc w:val="both"/>
        <w:rPr>
          <w:rFonts w:eastAsia="MS Mincho"/>
          <w:sz w:val="22"/>
          <w:szCs w:val="22"/>
          <w:lang w:eastAsia="ja-JP"/>
        </w:rPr>
      </w:pPr>
      <w:r>
        <w:rPr>
          <w:rFonts w:eastAsia="MS Mincho"/>
          <w:sz w:val="22"/>
          <w:szCs w:val="22"/>
          <w:lang w:eastAsia="ja-JP"/>
        </w:rPr>
        <w:t>R1-1804824, “Receivers for NOMA,” Qualcomm Inc.</w:t>
      </w:r>
    </w:p>
    <w:p w14:paraId="7FB536BF" w14:textId="197217D5" w:rsidR="00130DAD" w:rsidRPr="00130DAD" w:rsidRDefault="00130DAD" w:rsidP="00130DAD">
      <w:pPr>
        <w:numPr>
          <w:ilvl w:val="0"/>
          <w:numId w:val="4"/>
        </w:numPr>
        <w:jc w:val="both"/>
        <w:rPr>
          <w:rFonts w:eastAsia="MS Mincho"/>
          <w:sz w:val="22"/>
          <w:szCs w:val="22"/>
          <w:lang w:eastAsia="ja-JP"/>
        </w:rPr>
      </w:pPr>
      <w:r>
        <w:rPr>
          <w:rFonts w:eastAsia="MS Mincho"/>
          <w:sz w:val="22"/>
          <w:szCs w:val="22"/>
          <w:lang w:eastAsia="ja-JP"/>
        </w:rPr>
        <w:t>R1-1804826</w:t>
      </w:r>
      <w:r w:rsidRPr="00130DAD">
        <w:rPr>
          <w:rFonts w:eastAsia="MS Mincho"/>
          <w:sz w:val="22"/>
          <w:szCs w:val="22"/>
          <w:lang w:eastAsia="ja-JP"/>
        </w:rPr>
        <w:t>, “</w:t>
      </w:r>
      <w:r>
        <w:rPr>
          <w:rFonts w:eastAsia="MS Mincho"/>
          <w:sz w:val="22"/>
          <w:szCs w:val="22"/>
          <w:lang w:eastAsia="ja-JP"/>
        </w:rPr>
        <w:t xml:space="preserve">Link and System Level Performance Evaluation for </w:t>
      </w:r>
      <w:r w:rsidRPr="00130DAD">
        <w:rPr>
          <w:rFonts w:eastAsia="MS Mincho"/>
          <w:sz w:val="22"/>
          <w:szCs w:val="22"/>
          <w:lang w:eastAsia="ja-JP"/>
        </w:rPr>
        <w:t>NOMA,” Qualcomm Inc.</w:t>
      </w:r>
    </w:p>
    <w:p w14:paraId="6A9B135E" w14:textId="102F236F" w:rsidR="007A0DCF" w:rsidRPr="00917555" w:rsidRDefault="007A0DCF" w:rsidP="00B156F8">
      <w:pPr>
        <w:rPr>
          <w:sz w:val="22"/>
        </w:rPr>
      </w:pPr>
    </w:p>
    <w:sectPr w:rsidR="007A0DCF" w:rsidRPr="00917555"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51DF6" w14:textId="77777777" w:rsidR="000C5D32" w:rsidRDefault="000C5D32">
      <w:r>
        <w:separator/>
      </w:r>
    </w:p>
  </w:endnote>
  <w:endnote w:type="continuationSeparator" w:id="0">
    <w:p w14:paraId="7E1A54E2" w14:textId="77777777" w:rsidR="000C5D32" w:rsidRDefault="000C5D32">
      <w:r>
        <w:continuationSeparator/>
      </w:r>
    </w:p>
  </w:endnote>
  <w:endnote w:type="continuationNotice" w:id="1">
    <w:p w14:paraId="0D4D6CE6" w14:textId="77777777" w:rsidR="000C5D32" w:rsidRDefault="000C5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942E62" w:rsidRDefault="00942E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42E62" w:rsidRDefault="00942E6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5E39A4A1" w:rsidR="00942E62" w:rsidRDefault="00942E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9050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0500">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D4469" w14:textId="77777777" w:rsidR="000C5D32" w:rsidRDefault="000C5D32">
      <w:r>
        <w:separator/>
      </w:r>
    </w:p>
  </w:footnote>
  <w:footnote w:type="continuationSeparator" w:id="0">
    <w:p w14:paraId="5526E01D" w14:textId="77777777" w:rsidR="000C5D32" w:rsidRDefault="000C5D32">
      <w:r>
        <w:continuationSeparator/>
      </w:r>
    </w:p>
  </w:footnote>
  <w:footnote w:type="continuationNotice" w:id="1">
    <w:p w14:paraId="2D083A69" w14:textId="77777777" w:rsidR="000C5D32" w:rsidRDefault="000C5D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942E62" w:rsidRDefault="00942E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392B0D"/>
    <w:multiLevelType w:val="multilevel"/>
    <w:tmpl w:val="A6E42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77771E8"/>
    <w:multiLevelType w:val="hybridMultilevel"/>
    <w:tmpl w:val="440E4B02"/>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7867F1D"/>
    <w:multiLevelType w:val="hybridMultilevel"/>
    <w:tmpl w:val="3E62AD7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830B90"/>
    <w:multiLevelType w:val="hybridMultilevel"/>
    <w:tmpl w:val="670EF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8114A2"/>
    <w:multiLevelType w:val="hybridMultilevel"/>
    <w:tmpl w:val="8C005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6338E7"/>
    <w:multiLevelType w:val="hybridMultilevel"/>
    <w:tmpl w:val="E758C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6726FD"/>
    <w:multiLevelType w:val="hybridMultilevel"/>
    <w:tmpl w:val="C76A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num>
  <w:num w:numId="4">
    <w:abstractNumId w:val="3"/>
  </w:num>
  <w:num w:numId="5">
    <w:abstractNumId w:val="1"/>
  </w:num>
  <w:num w:numId="6">
    <w:abstractNumId w:val="11"/>
  </w:num>
  <w:num w:numId="7">
    <w:abstractNumId w:val="9"/>
  </w:num>
  <w:num w:numId="8">
    <w:abstractNumId w:val="10"/>
  </w:num>
  <w:num w:numId="9">
    <w:abstractNumId w:val="5"/>
  </w:num>
  <w:num w:numId="10">
    <w:abstractNumId w:val="8"/>
  </w:num>
  <w:num w:numId="11">
    <w:abstractNumId w:val="7"/>
  </w:num>
  <w:num w:numId="12">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2E83"/>
    <w:rsid w:val="00003131"/>
    <w:rsid w:val="00003227"/>
    <w:rsid w:val="00003629"/>
    <w:rsid w:val="000037FB"/>
    <w:rsid w:val="00003EF4"/>
    <w:rsid w:val="0000403F"/>
    <w:rsid w:val="00004885"/>
    <w:rsid w:val="00004D8C"/>
    <w:rsid w:val="00004DCB"/>
    <w:rsid w:val="000051F0"/>
    <w:rsid w:val="0000545A"/>
    <w:rsid w:val="0000553B"/>
    <w:rsid w:val="00005E8E"/>
    <w:rsid w:val="000063BC"/>
    <w:rsid w:val="00006780"/>
    <w:rsid w:val="00006C7A"/>
    <w:rsid w:val="00007495"/>
    <w:rsid w:val="0000792C"/>
    <w:rsid w:val="00007A28"/>
    <w:rsid w:val="00007B4B"/>
    <w:rsid w:val="000101EF"/>
    <w:rsid w:val="00010E97"/>
    <w:rsid w:val="00010FD1"/>
    <w:rsid w:val="0001117C"/>
    <w:rsid w:val="000124D1"/>
    <w:rsid w:val="0001270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096"/>
    <w:rsid w:val="000221EB"/>
    <w:rsid w:val="000222F7"/>
    <w:rsid w:val="0002255D"/>
    <w:rsid w:val="000233F4"/>
    <w:rsid w:val="00023C29"/>
    <w:rsid w:val="000245B1"/>
    <w:rsid w:val="00024623"/>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609"/>
    <w:rsid w:val="00054ACE"/>
    <w:rsid w:val="00054AE4"/>
    <w:rsid w:val="00054B6B"/>
    <w:rsid w:val="00054DAB"/>
    <w:rsid w:val="0005504C"/>
    <w:rsid w:val="000554FD"/>
    <w:rsid w:val="00055873"/>
    <w:rsid w:val="00055991"/>
    <w:rsid w:val="00055B8E"/>
    <w:rsid w:val="0005602E"/>
    <w:rsid w:val="00056057"/>
    <w:rsid w:val="00056E2A"/>
    <w:rsid w:val="00056F37"/>
    <w:rsid w:val="000572A7"/>
    <w:rsid w:val="00057388"/>
    <w:rsid w:val="00057DF9"/>
    <w:rsid w:val="00057F68"/>
    <w:rsid w:val="00057F6C"/>
    <w:rsid w:val="00060586"/>
    <w:rsid w:val="0006090A"/>
    <w:rsid w:val="00060D63"/>
    <w:rsid w:val="00060FDB"/>
    <w:rsid w:val="00061210"/>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1B3"/>
    <w:rsid w:val="00074375"/>
    <w:rsid w:val="000743A0"/>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C54"/>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188"/>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27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3A7"/>
    <w:rsid w:val="000B546F"/>
    <w:rsid w:val="000B6030"/>
    <w:rsid w:val="000B63BC"/>
    <w:rsid w:val="000B65BE"/>
    <w:rsid w:val="000B6BDF"/>
    <w:rsid w:val="000B7171"/>
    <w:rsid w:val="000B71B6"/>
    <w:rsid w:val="000B7B2B"/>
    <w:rsid w:val="000B7D5E"/>
    <w:rsid w:val="000C133A"/>
    <w:rsid w:val="000C1545"/>
    <w:rsid w:val="000C1D27"/>
    <w:rsid w:val="000C1DBD"/>
    <w:rsid w:val="000C2052"/>
    <w:rsid w:val="000C22A8"/>
    <w:rsid w:val="000C240A"/>
    <w:rsid w:val="000C2DE1"/>
    <w:rsid w:val="000C2E7E"/>
    <w:rsid w:val="000C3283"/>
    <w:rsid w:val="000C393F"/>
    <w:rsid w:val="000C4065"/>
    <w:rsid w:val="000C4137"/>
    <w:rsid w:val="000C4538"/>
    <w:rsid w:val="000C4C76"/>
    <w:rsid w:val="000C4DC0"/>
    <w:rsid w:val="000C5759"/>
    <w:rsid w:val="000C5D32"/>
    <w:rsid w:val="000C5E7D"/>
    <w:rsid w:val="000C673C"/>
    <w:rsid w:val="000C69F8"/>
    <w:rsid w:val="000C6A01"/>
    <w:rsid w:val="000C71D9"/>
    <w:rsid w:val="000D0153"/>
    <w:rsid w:val="000D037E"/>
    <w:rsid w:val="000D0A0F"/>
    <w:rsid w:val="000D0AB8"/>
    <w:rsid w:val="000D0BCC"/>
    <w:rsid w:val="000D0F9A"/>
    <w:rsid w:val="000D10A8"/>
    <w:rsid w:val="000D141D"/>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E72"/>
    <w:rsid w:val="000F1F98"/>
    <w:rsid w:val="000F20CD"/>
    <w:rsid w:val="000F2965"/>
    <w:rsid w:val="000F3358"/>
    <w:rsid w:val="000F34C7"/>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9D2"/>
    <w:rsid w:val="00102A33"/>
    <w:rsid w:val="00102E56"/>
    <w:rsid w:val="00103658"/>
    <w:rsid w:val="0010366C"/>
    <w:rsid w:val="00103C80"/>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43F"/>
    <w:rsid w:val="0010660E"/>
    <w:rsid w:val="00106A95"/>
    <w:rsid w:val="00106CC3"/>
    <w:rsid w:val="00106E7E"/>
    <w:rsid w:val="00106FF1"/>
    <w:rsid w:val="00107423"/>
    <w:rsid w:val="0010795D"/>
    <w:rsid w:val="0011034F"/>
    <w:rsid w:val="00110851"/>
    <w:rsid w:val="00110AFA"/>
    <w:rsid w:val="0011143B"/>
    <w:rsid w:val="00111486"/>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821"/>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4BC"/>
    <w:rsid w:val="00116A2D"/>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32D2"/>
    <w:rsid w:val="0012345C"/>
    <w:rsid w:val="00123793"/>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0DAD"/>
    <w:rsid w:val="00131683"/>
    <w:rsid w:val="00131AC6"/>
    <w:rsid w:val="001321CE"/>
    <w:rsid w:val="001322B0"/>
    <w:rsid w:val="00132671"/>
    <w:rsid w:val="0013272A"/>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37F67"/>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AC1"/>
    <w:rsid w:val="00142E42"/>
    <w:rsid w:val="00142EAE"/>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1AEF"/>
    <w:rsid w:val="00152066"/>
    <w:rsid w:val="00152559"/>
    <w:rsid w:val="00152A3B"/>
    <w:rsid w:val="0015347E"/>
    <w:rsid w:val="00153A48"/>
    <w:rsid w:val="00153A6B"/>
    <w:rsid w:val="00153E69"/>
    <w:rsid w:val="00153EEF"/>
    <w:rsid w:val="00153F29"/>
    <w:rsid w:val="001544AB"/>
    <w:rsid w:val="00154F0D"/>
    <w:rsid w:val="00155178"/>
    <w:rsid w:val="00155D53"/>
    <w:rsid w:val="00156018"/>
    <w:rsid w:val="0015622B"/>
    <w:rsid w:val="00156260"/>
    <w:rsid w:val="00156284"/>
    <w:rsid w:val="00156502"/>
    <w:rsid w:val="001575F0"/>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171"/>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AC"/>
    <w:rsid w:val="00190500"/>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EEE"/>
    <w:rsid w:val="001946AE"/>
    <w:rsid w:val="00194955"/>
    <w:rsid w:val="00195119"/>
    <w:rsid w:val="00195657"/>
    <w:rsid w:val="0019573B"/>
    <w:rsid w:val="0019592C"/>
    <w:rsid w:val="00196085"/>
    <w:rsid w:val="00196B90"/>
    <w:rsid w:val="00196DE8"/>
    <w:rsid w:val="00196FF4"/>
    <w:rsid w:val="0019734F"/>
    <w:rsid w:val="001973BE"/>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5C33"/>
    <w:rsid w:val="001A5F7A"/>
    <w:rsid w:val="001A5F83"/>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B07"/>
    <w:rsid w:val="001C1E53"/>
    <w:rsid w:val="001C211D"/>
    <w:rsid w:val="001C2A8B"/>
    <w:rsid w:val="001C2EC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1FD9"/>
    <w:rsid w:val="001D2B3C"/>
    <w:rsid w:val="001D2E6C"/>
    <w:rsid w:val="001D2F8F"/>
    <w:rsid w:val="001D35DC"/>
    <w:rsid w:val="001D43C0"/>
    <w:rsid w:val="001D448E"/>
    <w:rsid w:val="001D44BB"/>
    <w:rsid w:val="001D4969"/>
    <w:rsid w:val="001D4AF0"/>
    <w:rsid w:val="001D4F24"/>
    <w:rsid w:val="001D506F"/>
    <w:rsid w:val="001D57BC"/>
    <w:rsid w:val="001D65A4"/>
    <w:rsid w:val="001D65DA"/>
    <w:rsid w:val="001D6823"/>
    <w:rsid w:val="001D6E61"/>
    <w:rsid w:val="001D6F30"/>
    <w:rsid w:val="001D7260"/>
    <w:rsid w:val="001D7676"/>
    <w:rsid w:val="001D7816"/>
    <w:rsid w:val="001D7ADE"/>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E68"/>
    <w:rsid w:val="002024E6"/>
    <w:rsid w:val="00202D2E"/>
    <w:rsid w:val="00203159"/>
    <w:rsid w:val="00203A6E"/>
    <w:rsid w:val="00203F00"/>
    <w:rsid w:val="00203F5C"/>
    <w:rsid w:val="00203FB6"/>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90A"/>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30D"/>
    <w:rsid w:val="00214E0D"/>
    <w:rsid w:val="0021512E"/>
    <w:rsid w:val="0021586D"/>
    <w:rsid w:val="00215B6D"/>
    <w:rsid w:val="00215D76"/>
    <w:rsid w:val="00215F81"/>
    <w:rsid w:val="002162EA"/>
    <w:rsid w:val="002165F9"/>
    <w:rsid w:val="00216685"/>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9B6"/>
    <w:rsid w:val="00221A25"/>
    <w:rsid w:val="00222052"/>
    <w:rsid w:val="002222A4"/>
    <w:rsid w:val="00222AB8"/>
    <w:rsid w:val="00222B25"/>
    <w:rsid w:val="00222FE7"/>
    <w:rsid w:val="00223833"/>
    <w:rsid w:val="00223847"/>
    <w:rsid w:val="00223ACD"/>
    <w:rsid w:val="00224A38"/>
    <w:rsid w:val="00224A9B"/>
    <w:rsid w:val="0022503C"/>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3C1B"/>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0CC"/>
    <w:rsid w:val="002524F6"/>
    <w:rsid w:val="002530D6"/>
    <w:rsid w:val="002530D9"/>
    <w:rsid w:val="0025325D"/>
    <w:rsid w:val="002533FF"/>
    <w:rsid w:val="00253400"/>
    <w:rsid w:val="00253741"/>
    <w:rsid w:val="002537F5"/>
    <w:rsid w:val="00253905"/>
    <w:rsid w:val="0025429A"/>
    <w:rsid w:val="002546D5"/>
    <w:rsid w:val="00255DA1"/>
    <w:rsid w:val="002565FA"/>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64E"/>
    <w:rsid w:val="0028168F"/>
    <w:rsid w:val="002825CE"/>
    <w:rsid w:val="00283165"/>
    <w:rsid w:val="002832E7"/>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523D"/>
    <w:rsid w:val="002A53EB"/>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94E"/>
    <w:rsid w:val="002B6D31"/>
    <w:rsid w:val="002B70A2"/>
    <w:rsid w:val="002B7D56"/>
    <w:rsid w:val="002C04C2"/>
    <w:rsid w:val="002C0818"/>
    <w:rsid w:val="002C0D11"/>
    <w:rsid w:val="002C1B17"/>
    <w:rsid w:val="002C1D21"/>
    <w:rsid w:val="002C203A"/>
    <w:rsid w:val="002C295D"/>
    <w:rsid w:val="002C2AE9"/>
    <w:rsid w:val="002C2B29"/>
    <w:rsid w:val="002C2E8A"/>
    <w:rsid w:val="002C2FCD"/>
    <w:rsid w:val="002C3AE4"/>
    <w:rsid w:val="002C3E89"/>
    <w:rsid w:val="002C42AA"/>
    <w:rsid w:val="002C4AF6"/>
    <w:rsid w:val="002C5533"/>
    <w:rsid w:val="002C5620"/>
    <w:rsid w:val="002C5A6B"/>
    <w:rsid w:val="002C5E14"/>
    <w:rsid w:val="002C61E0"/>
    <w:rsid w:val="002C640C"/>
    <w:rsid w:val="002C6D3C"/>
    <w:rsid w:val="002C72BE"/>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653"/>
    <w:rsid w:val="002E38B7"/>
    <w:rsid w:val="002E4301"/>
    <w:rsid w:val="002E58E1"/>
    <w:rsid w:val="002E5968"/>
    <w:rsid w:val="002E5BDD"/>
    <w:rsid w:val="002E5C56"/>
    <w:rsid w:val="002E5D86"/>
    <w:rsid w:val="002E5DD7"/>
    <w:rsid w:val="002E6809"/>
    <w:rsid w:val="002E70F3"/>
    <w:rsid w:val="002E7780"/>
    <w:rsid w:val="002F0045"/>
    <w:rsid w:val="002F00F0"/>
    <w:rsid w:val="002F025B"/>
    <w:rsid w:val="002F0684"/>
    <w:rsid w:val="002F09C0"/>
    <w:rsid w:val="002F0ADB"/>
    <w:rsid w:val="002F0E34"/>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09B"/>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5CC"/>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B2B"/>
    <w:rsid w:val="00306ED2"/>
    <w:rsid w:val="00306F89"/>
    <w:rsid w:val="0030749E"/>
    <w:rsid w:val="00307B27"/>
    <w:rsid w:val="00307E05"/>
    <w:rsid w:val="00307F28"/>
    <w:rsid w:val="003101DC"/>
    <w:rsid w:val="0031049F"/>
    <w:rsid w:val="00310776"/>
    <w:rsid w:val="00310CC6"/>
    <w:rsid w:val="00310F30"/>
    <w:rsid w:val="00311328"/>
    <w:rsid w:val="00311642"/>
    <w:rsid w:val="00311761"/>
    <w:rsid w:val="00311941"/>
    <w:rsid w:val="0031212F"/>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E9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111"/>
    <w:rsid w:val="00336780"/>
    <w:rsid w:val="003367C5"/>
    <w:rsid w:val="00336DAD"/>
    <w:rsid w:val="00336DB3"/>
    <w:rsid w:val="00337065"/>
    <w:rsid w:val="00337B29"/>
    <w:rsid w:val="00337C71"/>
    <w:rsid w:val="003406B1"/>
    <w:rsid w:val="00340A09"/>
    <w:rsid w:val="00340B08"/>
    <w:rsid w:val="00340CC6"/>
    <w:rsid w:val="00340E58"/>
    <w:rsid w:val="00341087"/>
    <w:rsid w:val="00341706"/>
    <w:rsid w:val="00341CFA"/>
    <w:rsid w:val="0034246D"/>
    <w:rsid w:val="00342A51"/>
    <w:rsid w:val="00342B46"/>
    <w:rsid w:val="0034305B"/>
    <w:rsid w:val="00343132"/>
    <w:rsid w:val="003432B4"/>
    <w:rsid w:val="00343C24"/>
    <w:rsid w:val="00343FA6"/>
    <w:rsid w:val="003446AB"/>
    <w:rsid w:val="00344725"/>
    <w:rsid w:val="00344901"/>
    <w:rsid w:val="0034511B"/>
    <w:rsid w:val="003453BF"/>
    <w:rsid w:val="00345DD7"/>
    <w:rsid w:val="0034657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503"/>
    <w:rsid w:val="003567C9"/>
    <w:rsid w:val="00356CEC"/>
    <w:rsid w:val="003572DE"/>
    <w:rsid w:val="00357659"/>
    <w:rsid w:val="00357712"/>
    <w:rsid w:val="00357CAE"/>
    <w:rsid w:val="00360271"/>
    <w:rsid w:val="003604DB"/>
    <w:rsid w:val="00360DF6"/>
    <w:rsid w:val="003617B5"/>
    <w:rsid w:val="0036185C"/>
    <w:rsid w:val="00361B1A"/>
    <w:rsid w:val="0036227D"/>
    <w:rsid w:val="0036262C"/>
    <w:rsid w:val="00362B09"/>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2A"/>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1D7F"/>
    <w:rsid w:val="003821E7"/>
    <w:rsid w:val="00382903"/>
    <w:rsid w:val="003833A9"/>
    <w:rsid w:val="00383BA4"/>
    <w:rsid w:val="00383D4B"/>
    <w:rsid w:val="00383DDB"/>
    <w:rsid w:val="003842A8"/>
    <w:rsid w:val="00384747"/>
    <w:rsid w:val="003848D9"/>
    <w:rsid w:val="00384BC0"/>
    <w:rsid w:val="00384F3E"/>
    <w:rsid w:val="003852CC"/>
    <w:rsid w:val="003855EA"/>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87BDF"/>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5FB"/>
    <w:rsid w:val="003A48FC"/>
    <w:rsid w:val="003A4E82"/>
    <w:rsid w:val="003A4F4E"/>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868"/>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E30"/>
    <w:rsid w:val="003B64A5"/>
    <w:rsid w:val="003B6574"/>
    <w:rsid w:val="003B6E3B"/>
    <w:rsid w:val="003B6FCB"/>
    <w:rsid w:val="003B7020"/>
    <w:rsid w:val="003B7294"/>
    <w:rsid w:val="003B76FE"/>
    <w:rsid w:val="003C009A"/>
    <w:rsid w:val="003C07D7"/>
    <w:rsid w:val="003C0985"/>
    <w:rsid w:val="003C10B8"/>
    <w:rsid w:val="003C123D"/>
    <w:rsid w:val="003C2C9D"/>
    <w:rsid w:val="003C3B73"/>
    <w:rsid w:val="003C3D6E"/>
    <w:rsid w:val="003C3E87"/>
    <w:rsid w:val="003C3F8B"/>
    <w:rsid w:val="003C4213"/>
    <w:rsid w:val="003C4250"/>
    <w:rsid w:val="003C44DB"/>
    <w:rsid w:val="003C4F25"/>
    <w:rsid w:val="003C64CD"/>
    <w:rsid w:val="003C6580"/>
    <w:rsid w:val="003C67F3"/>
    <w:rsid w:val="003C68EC"/>
    <w:rsid w:val="003C6CCB"/>
    <w:rsid w:val="003C6DA9"/>
    <w:rsid w:val="003C7855"/>
    <w:rsid w:val="003D0240"/>
    <w:rsid w:val="003D0472"/>
    <w:rsid w:val="003D06A7"/>
    <w:rsid w:val="003D0868"/>
    <w:rsid w:val="003D09DA"/>
    <w:rsid w:val="003D0D75"/>
    <w:rsid w:val="003D1F11"/>
    <w:rsid w:val="003D22AC"/>
    <w:rsid w:val="003D2339"/>
    <w:rsid w:val="003D241A"/>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223"/>
    <w:rsid w:val="004017C6"/>
    <w:rsid w:val="00402160"/>
    <w:rsid w:val="004021B5"/>
    <w:rsid w:val="004024AB"/>
    <w:rsid w:val="00402DC4"/>
    <w:rsid w:val="00402F2C"/>
    <w:rsid w:val="0040303D"/>
    <w:rsid w:val="0040338E"/>
    <w:rsid w:val="0040379F"/>
    <w:rsid w:val="00403805"/>
    <w:rsid w:val="00403F25"/>
    <w:rsid w:val="00404011"/>
    <w:rsid w:val="0040495B"/>
    <w:rsid w:val="00404CB1"/>
    <w:rsid w:val="00404D4D"/>
    <w:rsid w:val="00404FCC"/>
    <w:rsid w:val="004051E0"/>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36C1"/>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C8F"/>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19B"/>
    <w:rsid w:val="004425C2"/>
    <w:rsid w:val="004426FE"/>
    <w:rsid w:val="00442824"/>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513"/>
    <w:rsid w:val="00445625"/>
    <w:rsid w:val="00445907"/>
    <w:rsid w:val="00445BB3"/>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C49"/>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235"/>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63D7"/>
    <w:rsid w:val="00466961"/>
    <w:rsid w:val="00467176"/>
    <w:rsid w:val="00470059"/>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F28"/>
    <w:rsid w:val="00490066"/>
    <w:rsid w:val="0049007E"/>
    <w:rsid w:val="00490185"/>
    <w:rsid w:val="00490532"/>
    <w:rsid w:val="00490649"/>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3F99"/>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89E"/>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2C4"/>
    <w:rsid w:val="004B045B"/>
    <w:rsid w:val="004B0706"/>
    <w:rsid w:val="004B072F"/>
    <w:rsid w:val="004B0780"/>
    <w:rsid w:val="004B0787"/>
    <w:rsid w:val="004B1313"/>
    <w:rsid w:val="004B169E"/>
    <w:rsid w:val="004B19BB"/>
    <w:rsid w:val="004B1C42"/>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3A"/>
    <w:rsid w:val="004C730E"/>
    <w:rsid w:val="004C7739"/>
    <w:rsid w:val="004C7BDF"/>
    <w:rsid w:val="004D0328"/>
    <w:rsid w:val="004D0E42"/>
    <w:rsid w:val="004D0FA5"/>
    <w:rsid w:val="004D1059"/>
    <w:rsid w:val="004D17E6"/>
    <w:rsid w:val="004D1A33"/>
    <w:rsid w:val="004D1A3E"/>
    <w:rsid w:val="004D1C2E"/>
    <w:rsid w:val="004D1C35"/>
    <w:rsid w:val="004D1D05"/>
    <w:rsid w:val="004D1D64"/>
    <w:rsid w:val="004D1DBB"/>
    <w:rsid w:val="004D2474"/>
    <w:rsid w:val="004D27C4"/>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464"/>
    <w:rsid w:val="004D65BA"/>
    <w:rsid w:val="004D68C0"/>
    <w:rsid w:val="004D6A6C"/>
    <w:rsid w:val="004D70E1"/>
    <w:rsid w:val="004D710C"/>
    <w:rsid w:val="004E0033"/>
    <w:rsid w:val="004E00F1"/>
    <w:rsid w:val="004E015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E7DFB"/>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3E7"/>
    <w:rsid w:val="004F359A"/>
    <w:rsid w:val="004F3B74"/>
    <w:rsid w:val="004F3DD1"/>
    <w:rsid w:val="004F4E53"/>
    <w:rsid w:val="004F58AB"/>
    <w:rsid w:val="004F5D4A"/>
    <w:rsid w:val="004F5D6E"/>
    <w:rsid w:val="004F5EBB"/>
    <w:rsid w:val="004F6142"/>
    <w:rsid w:val="004F63CC"/>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2E6"/>
    <w:rsid w:val="005033EE"/>
    <w:rsid w:val="0050377B"/>
    <w:rsid w:val="005038A7"/>
    <w:rsid w:val="0050398B"/>
    <w:rsid w:val="00503FAD"/>
    <w:rsid w:val="00504639"/>
    <w:rsid w:val="005048E9"/>
    <w:rsid w:val="00504987"/>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0E"/>
    <w:rsid w:val="005064CB"/>
    <w:rsid w:val="00506571"/>
    <w:rsid w:val="0050680A"/>
    <w:rsid w:val="005068F0"/>
    <w:rsid w:val="00506A8D"/>
    <w:rsid w:val="00506B00"/>
    <w:rsid w:val="00506C2E"/>
    <w:rsid w:val="00506D5A"/>
    <w:rsid w:val="00506ECD"/>
    <w:rsid w:val="00506FA2"/>
    <w:rsid w:val="005074C9"/>
    <w:rsid w:val="00507754"/>
    <w:rsid w:val="00507CAF"/>
    <w:rsid w:val="00510374"/>
    <w:rsid w:val="00510444"/>
    <w:rsid w:val="00510626"/>
    <w:rsid w:val="00511599"/>
    <w:rsid w:val="005119CD"/>
    <w:rsid w:val="005119D6"/>
    <w:rsid w:val="00511E67"/>
    <w:rsid w:val="0051272A"/>
    <w:rsid w:val="00512747"/>
    <w:rsid w:val="00512971"/>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6"/>
    <w:rsid w:val="00540C7A"/>
    <w:rsid w:val="00541647"/>
    <w:rsid w:val="005417A0"/>
    <w:rsid w:val="0054183A"/>
    <w:rsid w:val="00541D0D"/>
    <w:rsid w:val="00541E2B"/>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5FE8"/>
    <w:rsid w:val="00556680"/>
    <w:rsid w:val="005567BF"/>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757"/>
    <w:rsid w:val="005627C0"/>
    <w:rsid w:val="00562CDC"/>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6"/>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35E3"/>
    <w:rsid w:val="00594131"/>
    <w:rsid w:val="005943C6"/>
    <w:rsid w:val="005946E2"/>
    <w:rsid w:val="0059478F"/>
    <w:rsid w:val="0059486C"/>
    <w:rsid w:val="00595308"/>
    <w:rsid w:val="00595777"/>
    <w:rsid w:val="00595DA2"/>
    <w:rsid w:val="00595E51"/>
    <w:rsid w:val="00595E99"/>
    <w:rsid w:val="0059628B"/>
    <w:rsid w:val="00596308"/>
    <w:rsid w:val="00596864"/>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A31"/>
    <w:rsid w:val="005A416C"/>
    <w:rsid w:val="005A48E8"/>
    <w:rsid w:val="005A588D"/>
    <w:rsid w:val="005A59CF"/>
    <w:rsid w:val="005A6223"/>
    <w:rsid w:val="005A6A3A"/>
    <w:rsid w:val="005A6E87"/>
    <w:rsid w:val="005A7F72"/>
    <w:rsid w:val="005B0A7D"/>
    <w:rsid w:val="005B0F18"/>
    <w:rsid w:val="005B1197"/>
    <w:rsid w:val="005B16CC"/>
    <w:rsid w:val="005B18BB"/>
    <w:rsid w:val="005B2899"/>
    <w:rsid w:val="005B29FB"/>
    <w:rsid w:val="005B2CEF"/>
    <w:rsid w:val="005B2DA2"/>
    <w:rsid w:val="005B2DEA"/>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63C"/>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9D7"/>
    <w:rsid w:val="005E3B77"/>
    <w:rsid w:val="005E3F5F"/>
    <w:rsid w:val="005E48F7"/>
    <w:rsid w:val="005E4CCB"/>
    <w:rsid w:val="005E5563"/>
    <w:rsid w:val="005E59C5"/>
    <w:rsid w:val="005E5E74"/>
    <w:rsid w:val="005E66F1"/>
    <w:rsid w:val="005E6AFB"/>
    <w:rsid w:val="005E759E"/>
    <w:rsid w:val="005E75D6"/>
    <w:rsid w:val="005E7698"/>
    <w:rsid w:val="005E7849"/>
    <w:rsid w:val="005E7A8C"/>
    <w:rsid w:val="005E7A94"/>
    <w:rsid w:val="005F06FA"/>
    <w:rsid w:val="005F06FD"/>
    <w:rsid w:val="005F0B4C"/>
    <w:rsid w:val="005F0B53"/>
    <w:rsid w:val="005F0C46"/>
    <w:rsid w:val="005F1D5B"/>
    <w:rsid w:val="005F1F3A"/>
    <w:rsid w:val="005F1FE4"/>
    <w:rsid w:val="005F2528"/>
    <w:rsid w:val="005F369B"/>
    <w:rsid w:val="005F3955"/>
    <w:rsid w:val="005F3CC0"/>
    <w:rsid w:val="005F3F7F"/>
    <w:rsid w:val="005F40E5"/>
    <w:rsid w:val="005F419B"/>
    <w:rsid w:val="005F46D9"/>
    <w:rsid w:val="005F485F"/>
    <w:rsid w:val="005F4950"/>
    <w:rsid w:val="005F4D16"/>
    <w:rsid w:val="005F5060"/>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B4"/>
    <w:rsid w:val="006004DE"/>
    <w:rsid w:val="00600AAB"/>
    <w:rsid w:val="00600B6C"/>
    <w:rsid w:val="00601072"/>
    <w:rsid w:val="00601097"/>
    <w:rsid w:val="0060144E"/>
    <w:rsid w:val="00601457"/>
    <w:rsid w:val="006019B2"/>
    <w:rsid w:val="00601ACE"/>
    <w:rsid w:val="00601FCD"/>
    <w:rsid w:val="00602354"/>
    <w:rsid w:val="0060254B"/>
    <w:rsid w:val="0060268D"/>
    <w:rsid w:val="006027D5"/>
    <w:rsid w:val="0060305B"/>
    <w:rsid w:val="006039C5"/>
    <w:rsid w:val="00603B1B"/>
    <w:rsid w:val="006043D7"/>
    <w:rsid w:val="00604594"/>
    <w:rsid w:val="00604708"/>
    <w:rsid w:val="00604CFF"/>
    <w:rsid w:val="0060513A"/>
    <w:rsid w:val="00605399"/>
    <w:rsid w:val="006054EE"/>
    <w:rsid w:val="0060591D"/>
    <w:rsid w:val="006059EC"/>
    <w:rsid w:val="00605A02"/>
    <w:rsid w:val="00605A5D"/>
    <w:rsid w:val="00605B5D"/>
    <w:rsid w:val="0060739B"/>
    <w:rsid w:val="006074B1"/>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E96"/>
    <w:rsid w:val="00612EB7"/>
    <w:rsid w:val="006133A2"/>
    <w:rsid w:val="006133BC"/>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81"/>
    <w:rsid w:val="00623427"/>
    <w:rsid w:val="00623AEB"/>
    <w:rsid w:val="00623E4E"/>
    <w:rsid w:val="00624C2C"/>
    <w:rsid w:val="00624C6E"/>
    <w:rsid w:val="00624C75"/>
    <w:rsid w:val="00624F7A"/>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88F"/>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66"/>
    <w:rsid w:val="00635ED0"/>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513"/>
    <w:rsid w:val="006526A0"/>
    <w:rsid w:val="00653023"/>
    <w:rsid w:val="00653217"/>
    <w:rsid w:val="00653273"/>
    <w:rsid w:val="00653FED"/>
    <w:rsid w:val="0065424F"/>
    <w:rsid w:val="006543F3"/>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53"/>
    <w:rsid w:val="0066386C"/>
    <w:rsid w:val="00663908"/>
    <w:rsid w:val="00663D49"/>
    <w:rsid w:val="00663DAB"/>
    <w:rsid w:val="00663F72"/>
    <w:rsid w:val="0066423E"/>
    <w:rsid w:val="00664678"/>
    <w:rsid w:val="006646F4"/>
    <w:rsid w:val="00664E79"/>
    <w:rsid w:val="00665229"/>
    <w:rsid w:val="00665316"/>
    <w:rsid w:val="006654E8"/>
    <w:rsid w:val="0066568F"/>
    <w:rsid w:val="00665CCE"/>
    <w:rsid w:val="00666586"/>
    <w:rsid w:val="0066670B"/>
    <w:rsid w:val="00666E49"/>
    <w:rsid w:val="00666FED"/>
    <w:rsid w:val="006672FC"/>
    <w:rsid w:val="00667378"/>
    <w:rsid w:val="0066745C"/>
    <w:rsid w:val="00667A27"/>
    <w:rsid w:val="00670204"/>
    <w:rsid w:val="00670290"/>
    <w:rsid w:val="0067029C"/>
    <w:rsid w:val="006704BF"/>
    <w:rsid w:val="00670646"/>
    <w:rsid w:val="00670AD6"/>
    <w:rsid w:val="00670ECD"/>
    <w:rsid w:val="00671010"/>
    <w:rsid w:val="0067106A"/>
    <w:rsid w:val="00671B4F"/>
    <w:rsid w:val="006725CC"/>
    <w:rsid w:val="0067273D"/>
    <w:rsid w:val="00672966"/>
    <w:rsid w:val="00672E1F"/>
    <w:rsid w:val="00673277"/>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17F"/>
    <w:rsid w:val="00681254"/>
    <w:rsid w:val="00681307"/>
    <w:rsid w:val="006820C0"/>
    <w:rsid w:val="0068226B"/>
    <w:rsid w:val="0068235D"/>
    <w:rsid w:val="006826A2"/>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2D0"/>
    <w:rsid w:val="0069239E"/>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4EA5"/>
    <w:rsid w:val="00696244"/>
    <w:rsid w:val="006969D6"/>
    <w:rsid w:val="00696B6A"/>
    <w:rsid w:val="00696DD1"/>
    <w:rsid w:val="0069755C"/>
    <w:rsid w:val="006979DC"/>
    <w:rsid w:val="00697C2C"/>
    <w:rsid w:val="00697E0B"/>
    <w:rsid w:val="00697F71"/>
    <w:rsid w:val="006A04D8"/>
    <w:rsid w:val="006A05EF"/>
    <w:rsid w:val="006A0942"/>
    <w:rsid w:val="006A0E7B"/>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2FA"/>
    <w:rsid w:val="006E1469"/>
    <w:rsid w:val="006E176F"/>
    <w:rsid w:val="006E1C34"/>
    <w:rsid w:val="006E1E45"/>
    <w:rsid w:val="006E22CC"/>
    <w:rsid w:val="006E2323"/>
    <w:rsid w:val="006E2375"/>
    <w:rsid w:val="006E2565"/>
    <w:rsid w:val="006E3D3A"/>
    <w:rsid w:val="006E4504"/>
    <w:rsid w:val="006E4646"/>
    <w:rsid w:val="006E4DDC"/>
    <w:rsid w:val="006E512D"/>
    <w:rsid w:val="006E52B5"/>
    <w:rsid w:val="006E5477"/>
    <w:rsid w:val="006E554E"/>
    <w:rsid w:val="006E5AFE"/>
    <w:rsid w:val="006E5BCF"/>
    <w:rsid w:val="006E696A"/>
    <w:rsid w:val="006E6C33"/>
    <w:rsid w:val="006E6F03"/>
    <w:rsid w:val="006E71A8"/>
    <w:rsid w:val="006E7496"/>
    <w:rsid w:val="006E7883"/>
    <w:rsid w:val="006E7969"/>
    <w:rsid w:val="006E7CA5"/>
    <w:rsid w:val="006E7E49"/>
    <w:rsid w:val="006E7F71"/>
    <w:rsid w:val="006F0209"/>
    <w:rsid w:val="006F05C2"/>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4FD3"/>
    <w:rsid w:val="006F557B"/>
    <w:rsid w:val="006F5674"/>
    <w:rsid w:val="006F5B4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03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F88"/>
    <w:rsid w:val="007325D3"/>
    <w:rsid w:val="00732885"/>
    <w:rsid w:val="00732DFB"/>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A6A"/>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DE9"/>
    <w:rsid w:val="00773EC7"/>
    <w:rsid w:val="007743A1"/>
    <w:rsid w:val="007744EF"/>
    <w:rsid w:val="00775BAA"/>
    <w:rsid w:val="00775E8B"/>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39BA"/>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0DCF"/>
    <w:rsid w:val="007A1189"/>
    <w:rsid w:val="007A122E"/>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10"/>
    <w:rsid w:val="007B2BB1"/>
    <w:rsid w:val="007B3476"/>
    <w:rsid w:val="007B448A"/>
    <w:rsid w:val="007B44DC"/>
    <w:rsid w:val="007B44E3"/>
    <w:rsid w:val="007B4543"/>
    <w:rsid w:val="007B4937"/>
    <w:rsid w:val="007B4D3D"/>
    <w:rsid w:val="007B52B7"/>
    <w:rsid w:val="007B550D"/>
    <w:rsid w:val="007B5A66"/>
    <w:rsid w:val="007B630D"/>
    <w:rsid w:val="007B77FB"/>
    <w:rsid w:val="007B7D58"/>
    <w:rsid w:val="007B7E59"/>
    <w:rsid w:val="007C0177"/>
    <w:rsid w:val="007C0880"/>
    <w:rsid w:val="007C0AAA"/>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D7A52"/>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DBB"/>
    <w:rsid w:val="007F2ED4"/>
    <w:rsid w:val="007F3374"/>
    <w:rsid w:val="007F3960"/>
    <w:rsid w:val="007F3BEB"/>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77B"/>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42B"/>
    <w:rsid w:val="00825511"/>
    <w:rsid w:val="00825693"/>
    <w:rsid w:val="00825EEF"/>
    <w:rsid w:val="00826204"/>
    <w:rsid w:val="008263E0"/>
    <w:rsid w:val="00826480"/>
    <w:rsid w:val="00826CFD"/>
    <w:rsid w:val="00826D90"/>
    <w:rsid w:val="00827015"/>
    <w:rsid w:val="00827109"/>
    <w:rsid w:val="008272E9"/>
    <w:rsid w:val="00827A41"/>
    <w:rsid w:val="00827AF3"/>
    <w:rsid w:val="00827F8C"/>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B33"/>
    <w:rsid w:val="00856C75"/>
    <w:rsid w:val="00856D2B"/>
    <w:rsid w:val="00856E4A"/>
    <w:rsid w:val="0085722A"/>
    <w:rsid w:val="00857686"/>
    <w:rsid w:val="00857C34"/>
    <w:rsid w:val="008600FD"/>
    <w:rsid w:val="0086037F"/>
    <w:rsid w:val="008604E6"/>
    <w:rsid w:val="00860510"/>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970"/>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8C6"/>
    <w:rsid w:val="008819A5"/>
    <w:rsid w:val="00881E5E"/>
    <w:rsid w:val="00881F28"/>
    <w:rsid w:val="008829DC"/>
    <w:rsid w:val="00882BB1"/>
    <w:rsid w:val="00882BB8"/>
    <w:rsid w:val="00883004"/>
    <w:rsid w:val="00883ED6"/>
    <w:rsid w:val="00884255"/>
    <w:rsid w:val="0088425B"/>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B85"/>
    <w:rsid w:val="00887FEF"/>
    <w:rsid w:val="008907B2"/>
    <w:rsid w:val="00890BCD"/>
    <w:rsid w:val="00890E0D"/>
    <w:rsid w:val="00890F04"/>
    <w:rsid w:val="00890FBE"/>
    <w:rsid w:val="008914DC"/>
    <w:rsid w:val="00891933"/>
    <w:rsid w:val="00891F63"/>
    <w:rsid w:val="00892253"/>
    <w:rsid w:val="008922DF"/>
    <w:rsid w:val="00893024"/>
    <w:rsid w:val="0089302F"/>
    <w:rsid w:val="00893B3B"/>
    <w:rsid w:val="00893BA4"/>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FB2"/>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EA"/>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474C"/>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ED7"/>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668"/>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177"/>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7555"/>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4170"/>
    <w:rsid w:val="00924CAB"/>
    <w:rsid w:val="0092507E"/>
    <w:rsid w:val="009250C2"/>
    <w:rsid w:val="00925267"/>
    <w:rsid w:val="00925836"/>
    <w:rsid w:val="00925B5F"/>
    <w:rsid w:val="00925B66"/>
    <w:rsid w:val="00925C4E"/>
    <w:rsid w:val="00925DD1"/>
    <w:rsid w:val="009260EC"/>
    <w:rsid w:val="00926264"/>
    <w:rsid w:val="00926575"/>
    <w:rsid w:val="00926595"/>
    <w:rsid w:val="0092686F"/>
    <w:rsid w:val="0092698B"/>
    <w:rsid w:val="009269EB"/>
    <w:rsid w:val="00927232"/>
    <w:rsid w:val="0092736E"/>
    <w:rsid w:val="00927522"/>
    <w:rsid w:val="0092784B"/>
    <w:rsid w:val="009279AF"/>
    <w:rsid w:val="00927BD1"/>
    <w:rsid w:val="0093011E"/>
    <w:rsid w:val="009301E4"/>
    <w:rsid w:val="00930305"/>
    <w:rsid w:val="0093063D"/>
    <w:rsid w:val="00930A2E"/>
    <w:rsid w:val="0093135E"/>
    <w:rsid w:val="009319CE"/>
    <w:rsid w:val="00931DF8"/>
    <w:rsid w:val="00931F35"/>
    <w:rsid w:val="00932109"/>
    <w:rsid w:val="009322AC"/>
    <w:rsid w:val="009324B1"/>
    <w:rsid w:val="009326B1"/>
    <w:rsid w:val="009327B5"/>
    <w:rsid w:val="00932A20"/>
    <w:rsid w:val="0093352F"/>
    <w:rsid w:val="00933D61"/>
    <w:rsid w:val="00933DE4"/>
    <w:rsid w:val="00934044"/>
    <w:rsid w:val="00934FFD"/>
    <w:rsid w:val="009353F3"/>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62"/>
    <w:rsid w:val="00942EF9"/>
    <w:rsid w:val="00943018"/>
    <w:rsid w:val="0094335F"/>
    <w:rsid w:val="0094376F"/>
    <w:rsid w:val="00944202"/>
    <w:rsid w:val="00944335"/>
    <w:rsid w:val="009444C4"/>
    <w:rsid w:val="0094484A"/>
    <w:rsid w:val="00944AF4"/>
    <w:rsid w:val="00945E49"/>
    <w:rsid w:val="009462D8"/>
    <w:rsid w:val="00946388"/>
    <w:rsid w:val="0094663A"/>
    <w:rsid w:val="00946AA5"/>
    <w:rsid w:val="00946C4B"/>
    <w:rsid w:val="0094712F"/>
    <w:rsid w:val="009478ED"/>
    <w:rsid w:val="009479E5"/>
    <w:rsid w:val="009504C8"/>
    <w:rsid w:val="00950781"/>
    <w:rsid w:val="009509D7"/>
    <w:rsid w:val="00950B09"/>
    <w:rsid w:val="00950DD1"/>
    <w:rsid w:val="00950FA9"/>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B80"/>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26D1"/>
    <w:rsid w:val="0096392B"/>
    <w:rsid w:val="0096397B"/>
    <w:rsid w:val="00963F73"/>
    <w:rsid w:val="00964418"/>
    <w:rsid w:val="00964E3C"/>
    <w:rsid w:val="00964E69"/>
    <w:rsid w:val="0096504D"/>
    <w:rsid w:val="009654F0"/>
    <w:rsid w:val="009659EA"/>
    <w:rsid w:val="0096691D"/>
    <w:rsid w:val="00966EC4"/>
    <w:rsid w:val="00967655"/>
    <w:rsid w:val="0096766C"/>
    <w:rsid w:val="0096775A"/>
    <w:rsid w:val="00967851"/>
    <w:rsid w:val="00967B42"/>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558"/>
    <w:rsid w:val="00977852"/>
    <w:rsid w:val="009778AB"/>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7"/>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49"/>
    <w:rsid w:val="009A6C74"/>
    <w:rsid w:val="009A6EE7"/>
    <w:rsid w:val="009A7154"/>
    <w:rsid w:val="009A74B7"/>
    <w:rsid w:val="009A7889"/>
    <w:rsid w:val="009A78D1"/>
    <w:rsid w:val="009A7DFB"/>
    <w:rsid w:val="009A7E08"/>
    <w:rsid w:val="009B003C"/>
    <w:rsid w:val="009B1823"/>
    <w:rsid w:val="009B2E47"/>
    <w:rsid w:val="009B3685"/>
    <w:rsid w:val="009B3745"/>
    <w:rsid w:val="009B3B36"/>
    <w:rsid w:val="009B3BEC"/>
    <w:rsid w:val="009B3C79"/>
    <w:rsid w:val="009B3CF6"/>
    <w:rsid w:val="009B3D47"/>
    <w:rsid w:val="009B3E69"/>
    <w:rsid w:val="009B4250"/>
    <w:rsid w:val="009B4821"/>
    <w:rsid w:val="009B4C1C"/>
    <w:rsid w:val="009B4C24"/>
    <w:rsid w:val="009B5821"/>
    <w:rsid w:val="009B70E9"/>
    <w:rsid w:val="009B7564"/>
    <w:rsid w:val="009B7BB7"/>
    <w:rsid w:val="009B7FFA"/>
    <w:rsid w:val="009C00EF"/>
    <w:rsid w:val="009C0BC1"/>
    <w:rsid w:val="009C0DBE"/>
    <w:rsid w:val="009C1035"/>
    <w:rsid w:val="009C168C"/>
    <w:rsid w:val="009C19BC"/>
    <w:rsid w:val="009C19D2"/>
    <w:rsid w:val="009C19E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ABD"/>
    <w:rsid w:val="009C7CE4"/>
    <w:rsid w:val="009C7F47"/>
    <w:rsid w:val="009D0361"/>
    <w:rsid w:val="009D0720"/>
    <w:rsid w:val="009D0C8D"/>
    <w:rsid w:val="009D1342"/>
    <w:rsid w:val="009D15EA"/>
    <w:rsid w:val="009D15FC"/>
    <w:rsid w:val="009D18C0"/>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1D7"/>
    <w:rsid w:val="009E5656"/>
    <w:rsid w:val="009E5879"/>
    <w:rsid w:val="009E5AB4"/>
    <w:rsid w:val="009E60C7"/>
    <w:rsid w:val="009E641D"/>
    <w:rsid w:val="009E6A64"/>
    <w:rsid w:val="009E6B8B"/>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55F"/>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3C2"/>
    <w:rsid w:val="009F7883"/>
    <w:rsid w:val="009F79BE"/>
    <w:rsid w:val="00A0018E"/>
    <w:rsid w:val="00A004F2"/>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38B"/>
    <w:rsid w:val="00A07594"/>
    <w:rsid w:val="00A07654"/>
    <w:rsid w:val="00A07656"/>
    <w:rsid w:val="00A07B16"/>
    <w:rsid w:val="00A07D90"/>
    <w:rsid w:val="00A10230"/>
    <w:rsid w:val="00A105DB"/>
    <w:rsid w:val="00A106FE"/>
    <w:rsid w:val="00A107B6"/>
    <w:rsid w:val="00A10B48"/>
    <w:rsid w:val="00A114B5"/>
    <w:rsid w:val="00A115BF"/>
    <w:rsid w:val="00A117A5"/>
    <w:rsid w:val="00A1197E"/>
    <w:rsid w:val="00A11A89"/>
    <w:rsid w:val="00A11ACA"/>
    <w:rsid w:val="00A11E0F"/>
    <w:rsid w:val="00A12206"/>
    <w:rsid w:val="00A12301"/>
    <w:rsid w:val="00A1232B"/>
    <w:rsid w:val="00A12929"/>
    <w:rsid w:val="00A12A73"/>
    <w:rsid w:val="00A12BEE"/>
    <w:rsid w:val="00A12EE8"/>
    <w:rsid w:val="00A131A4"/>
    <w:rsid w:val="00A13299"/>
    <w:rsid w:val="00A13715"/>
    <w:rsid w:val="00A13A66"/>
    <w:rsid w:val="00A13B10"/>
    <w:rsid w:val="00A13CF1"/>
    <w:rsid w:val="00A145D0"/>
    <w:rsid w:val="00A14BA5"/>
    <w:rsid w:val="00A14DD7"/>
    <w:rsid w:val="00A157EC"/>
    <w:rsid w:val="00A158A2"/>
    <w:rsid w:val="00A158BA"/>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4B"/>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67F"/>
    <w:rsid w:val="00A26883"/>
    <w:rsid w:val="00A26D60"/>
    <w:rsid w:val="00A26EE0"/>
    <w:rsid w:val="00A2702B"/>
    <w:rsid w:val="00A279DC"/>
    <w:rsid w:val="00A27B82"/>
    <w:rsid w:val="00A30053"/>
    <w:rsid w:val="00A30703"/>
    <w:rsid w:val="00A30BAE"/>
    <w:rsid w:val="00A31051"/>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061"/>
    <w:rsid w:val="00A35A0B"/>
    <w:rsid w:val="00A35BD0"/>
    <w:rsid w:val="00A362CB"/>
    <w:rsid w:val="00A37413"/>
    <w:rsid w:val="00A3747D"/>
    <w:rsid w:val="00A37A59"/>
    <w:rsid w:val="00A37E05"/>
    <w:rsid w:val="00A4037E"/>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F3"/>
    <w:rsid w:val="00A623EF"/>
    <w:rsid w:val="00A62454"/>
    <w:rsid w:val="00A627E0"/>
    <w:rsid w:val="00A62953"/>
    <w:rsid w:val="00A62AC2"/>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A8E"/>
    <w:rsid w:val="00A67AC6"/>
    <w:rsid w:val="00A70A35"/>
    <w:rsid w:val="00A7141F"/>
    <w:rsid w:val="00A71D6B"/>
    <w:rsid w:val="00A71F00"/>
    <w:rsid w:val="00A72370"/>
    <w:rsid w:val="00A726A3"/>
    <w:rsid w:val="00A726DE"/>
    <w:rsid w:val="00A72C82"/>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3A29"/>
    <w:rsid w:val="00AC45D6"/>
    <w:rsid w:val="00AC4D1B"/>
    <w:rsid w:val="00AC4D53"/>
    <w:rsid w:val="00AC4D9E"/>
    <w:rsid w:val="00AC4E2E"/>
    <w:rsid w:val="00AC5C2A"/>
    <w:rsid w:val="00AC61B3"/>
    <w:rsid w:val="00AC63F4"/>
    <w:rsid w:val="00AC6786"/>
    <w:rsid w:val="00AC6A68"/>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F94"/>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1F58"/>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4E93"/>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2F8D"/>
    <w:rsid w:val="00B13003"/>
    <w:rsid w:val="00B132FE"/>
    <w:rsid w:val="00B137BE"/>
    <w:rsid w:val="00B13829"/>
    <w:rsid w:val="00B13F1F"/>
    <w:rsid w:val="00B14251"/>
    <w:rsid w:val="00B147CC"/>
    <w:rsid w:val="00B150FE"/>
    <w:rsid w:val="00B15141"/>
    <w:rsid w:val="00B151C6"/>
    <w:rsid w:val="00B156F8"/>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0B0"/>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EED"/>
    <w:rsid w:val="00B4003E"/>
    <w:rsid w:val="00B40292"/>
    <w:rsid w:val="00B406B2"/>
    <w:rsid w:val="00B40976"/>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D8B"/>
    <w:rsid w:val="00B60407"/>
    <w:rsid w:val="00B60530"/>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2E2"/>
    <w:rsid w:val="00B64398"/>
    <w:rsid w:val="00B64484"/>
    <w:rsid w:val="00B645F8"/>
    <w:rsid w:val="00B64A44"/>
    <w:rsid w:val="00B652B0"/>
    <w:rsid w:val="00B65771"/>
    <w:rsid w:val="00B65F79"/>
    <w:rsid w:val="00B664EC"/>
    <w:rsid w:val="00B66801"/>
    <w:rsid w:val="00B668B4"/>
    <w:rsid w:val="00B66FFC"/>
    <w:rsid w:val="00B67506"/>
    <w:rsid w:val="00B6796C"/>
    <w:rsid w:val="00B67B2B"/>
    <w:rsid w:val="00B7021B"/>
    <w:rsid w:val="00B70333"/>
    <w:rsid w:val="00B70A49"/>
    <w:rsid w:val="00B70EDB"/>
    <w:rsid w:val="00B71A5D"/>
    <w:rsid w:val="00B71FD5"/>
    <w:rsid w:val="00B723A9"/>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A5C"/>
    <w:rsid w:val="00B75D18"/>
    <w:rsid w:val="00B75E52"/>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12B"/>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5D56"/>
    <w:rsid w:val="00BB61DC"/>
    <w:rsid w:val="00BB6258"/>
    <w:rsid w:val="00BB6431"/>
    <w:rsid w:val="00BB645D"/>
    <w:rsid w:val="00BB6472"/>
    <w:rsid w:val="00BB672B"/>
    <w:rsid w:val="00BB71EC"/>
    <w:rsid w:val="00BB724B"/>
    <w:rsid w:val="00BB740F"/>
    <w:rsid w:val="00BB7DB1"/>
    <w:rsid w:val="00BC0AE6"/>
    <w:rsid w:val="00BC16BF"/>
    <w:rsid w:val="00BC1B4B"/>
    <w:rsid w:val="00BC201A"/>
    <w:rsid w:val="00BC2AFF"/>
    <w:rsid w:val="00BC2BC7"/>
    <w:rsid w:val="00BC2E58"/>
    <w:rsid w:val="00BC2F45"/>
    <w:rsid w:val="00BC344E"/>
    <w:rsid w:val="00BC38B8"/>
    <w:rsid w:val="00BC3CF8"/>
    <w:rsid w:val="00BC3FC2"/>
    <w:rsid w:val="00BC4B9C"/>
    <w:rsid w:val="00BC5181"/>
    <w:rsid w:val="00BC56C1"/>
    <w:rsid w:val="00BC5CE2"/>
    <w:rsid w:val="00BC642E"/>
    <w:rsid w:val="00BC6742"/>
    <w:rsid w:val="00BC71C5"/>
    <w:rsid w:val="00BC7659"/>
    <w:rsid w:val="00BC791C"/>
    <w:rsid w:val="00BC7A42"/>
    <w:rsid w:val="00BC7C2B"/>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377"/>
    <w:rsid w:val="00BE2A38"/>
    <w:rsid w:val="00BE2E99"/>
    <w:rsid w:val="00BE3984"/>
    <w:rsid w:val="00BE3AFA"/>
    <w:rsid w:val="00BE3DEC"/>
    <w:rsid w:val="00BE3F52"/>
    <w:rsid w:val="00BE403F"/>
    <w:rsid w:val="00BE45C1"/>
    <w:rsid w:val="00BE51C7"/>
    <w:rsid w:val="00BE5515"/>
    <w:rsid w:val="00BE5613"/>
    <w:rsid w:val="00BE5813"/>
    <w:rsid w:val="00BE5C7E"/>
    <w:rsid w:val="00BE65B3"/>
    <w:rsid w:val="00BE68B9"/>
    <w:rsid w:val="00BE6D80"/>
    <w:rsid w:val="00BE7265"/>
    <w:rsid w:val="00BE76C3"/>
    <w:rsid w:val="00BE7B27"/>
    <w:rsid w:val="00BF010C"/>
    <w:rsid w:val="00BF02E6"/>
    <w:rsid w:val="00BF0A66"/>
    <w:rsid w:val="00BF10D2"/>
    <w:rsid w:val="00BF10D6"/>
    <w:rsid w:val="00BF120B"/>
    <w:rsid w:val="00BF1309"/>
    <w:rsid w:val="00BF18B9"/>
    <w:rsid w:val="00BF1B70"/>
    <w:rsid w:val="00BF220D"/>
    <w:rsid w:val="00BF22F8"/>
    <w:rsid w:val="00BF25AE"/>
    <w:rsid w:val="00BF2817"/>
    <w:rsid w:val="00BF2C65"/>
    <w:rsid w:val="00BF31CB"/>
    <w:rsid w:val="00BF3485"/>
    <w:rsid w:val="00BF3AE6"/>
    <w:rsid w:val="00BF3C10"/>
    <w:rsid w:val="00BF3D3A"/>
    <w:rsid w:val="00BF404E"/>
    <w:rsid w:val="00BF46F1"/>
    <w:rsid w:val="00BF4923"/>
    <w:rsid w:val="00BF4B69"/>
    <w:rsid w:val="00BF5350"/>
    <w:rsid w:val="00BF55D0"/>
    <w:rsid w:val="00BF5623"/>
    <w:rsid w:val="00BF56A8"/>
    <w:rsid w:val="00BF60E3"/>
    <w:rsid w:val="00BF6597"/>
    <w:rsid w:val="00BF6B74"/>
    <w:rsid w:val="00BF6FBF"/>
    <w:rsid w:val="00BF70A1"/>
    <w:rsid w:val="00BF70F8"/>
    <w:rsid w:val="00BF750F"/>
    <w:rsid w:val="00BF7CDD"/>
    <w:rsid w:val="00BF7D43"/>
    <w:rsid w:val="00C007CA"/>
    <w:rsid w:val="00C00F1A"/>
    <w:rsid w:val="00C010F5"/>
    <w:rsid w:val="00C01835"/>
    <w:rsid w:val="00C01DFD"/>
    <w:rsid w:val="00C02192"/>
    <w:rsid w:val="00C0279C"/>
    <w:rsid w:val="00C02C95"/>
    <w:rsid w:val="00C02CDE"/>
    <w:rsid w:val="00C02EB7"/>
    <w:rsid w:val="00C034D3"/>
    <w:rsid w:val="00C03B7B"/>
    <w:rsid w:val="00C03C30"/>
    <w:rsid w:val="00C04339"/>
    <w:rsid w:val="00C04670"/>
    <w:rsid w:val="00C04C6C"/>
    <w:rsid w:val="00C04DE2"/>
    <w:rsid w:val="00C05395"/>
    <w:rsid w:val="00C055C7"/>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2AB"/>
    <w:rsid w:val="00C1157C"/>
    <w:rsid w:val="00C115BA"/>
    <w:rsid w:val="00C11C33"/>
    <w:rsid w:val="00C11C73"/>
    <w:rsid w:val="00C11FE5"/>
    <w:rsid w:val="00C11FF6"/>
    <w:rsid w:val="00C12068"/>
    <w:rsid w:val="00C12A91"/>
    <w:rsid w:val="00C12EB5"/>
    <w:rsid w:val="00C12F96"/>
    <w:rsid w:val="00C1328A"/>
    <w:rsid w:val="00C13504"/>
    <w:rsid w:val="00C13C8A"/>
    <w:rsid w:val="00C13F22"/>
    <w:rsid w:val="00C140FE"/>
    <w:rsid w:val="00C14346"/>
    <w:rsid w:val="00C144A1"/>
    <w:rsid w:val="00C14691"/>
    <w:rsid w:val="00C14EF8"/>
    <w:rsid w:val="00C15135"/>
    <w:rsid w:val="00C1517D"/>
    <w:rsid w:val="00C1556B"/>
    <w:rsid w:val="00C159ED"/>
    <w:rsid w:val="00C16386"/>
    <w:rsid w:val="00C165C6"/>
    <w:rsid w:val="00C1662C"/>
    <w:rsid w:val="00C16813"/>
    <w:rsid w:val="00C16B16"/>
    <w:rsid w:val="00C17099"/>
    <w:rsid w:val="00C170AE"/>
    <w:rsid w:val="00C173EB"/>
    <w:rsid w:val="00C17593"/>
    <w:rsid w:val="00C176B6"/>
    <w:rsid w:val="00C177BC"/>
    <w:rsid w:val="00C17D7E"/>
    <w:rsid w:val="00C17D89"/>
    <w:rsid w:val="00C202D5"/>
    <w:rsid w:val="00C2068D"/>
    <w:rsid w:val="00C206C4"/>
    <w:rsid w:val="00C206EC"/>
    <w:rsid w:val="00C20DD5"/>
    <w:rsid w:val="00C20F2A"/>
    <w:rsid w:val="00C226CE"/>
    <w:rsid w:val="00C232DD"/>
    <w:rsid w:val="00C23452"/>
    <w:rsid w:val="00C2381C"/>
    <w:rsid w:val="00C2423A"/>
    <w:rsid w:val="00C244D8"/>
    <w:rsid w:val="00C24789"/>
    <w:rsid w:val="00C24C48"/>
    <w:rsid w:val="00C24CED"/>
    <w:rsid w:val="00C24EE5"/>
    <w:rsid w:val="00C250CF"/>
    <w:rsid w:val="00C2544D"/>
    <w:rsid w:val="00C26871"/>
    <w:rsid w:val="00C2695A"/>
    <w:rsid w:val="00C26EB2"/>
    <w:rsid w:val="00C27156"/>
    <w:rsid w:val="00C274BE"/>
    <w:rsid w:val="00C275D9"/>
    <w:rsid w:val="00C2769D"/>
    <w:rsid w:val="00C2788A"/>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924"/>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03E"/>
    <w:rsid w:val="00C71327"/>
    <w:rsid w:val="00C7134A"/>
    <w:rsid w:val="00C71468"/>
    <w:rsid w:val="00C71E9E"/>
    <w:rsid w:val="00C7217C"/>
    <w:rsid w:val="00C723AF"/>
    <w:rsid w:val="00C723CA"/>
    <w:rsid w:val="00C7271F"/>
    <w:rsid w:val="00C72EF5"/>
    <w:rsid w:val="00C73001"/>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350"/>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6D9"/>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AC9"/>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7B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6B"/>
    <w:rsid w:val="00CE76BD"/>
    <w:rsid w:val="00CE781A"/>
    <w:rsid w:val="00CF0131"/>
    <w:rsid w:val="00CF02AC"/>
    <w:rsid w:val="00CF057C"/>
    <w:rsid w:val="00CF06E6"/>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4FA"/>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EB5"/>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777"/>
    <w:rsid w:val="00D41901"/>
    <w:rsid w:val="00D419F8"/>
    <w:rsid w:val="00D41CD0"/>
    <w:rsid w:val="00D421D9"/>
    <w:rsid w:val="00D42223"/>
    <w:rsid w:val="00D422E4"/>
    <w:rsid w:val="00D424E7"/>
    <w:rsid w:val="00D426FB"/>
    <w:rsid w:val="00D42B71"/>
    <w:rsid w:val="00D42D5D"/>
    <w:rsid w:val="00D431CD"/>
    <w:rsid w:val="00D43888"/>
    <w:rsid w:val="00D4429F"/>
    <w:rsid w:val="00D44A5C"/>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0BD"/>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5E9B"/>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D3"/>
    <w:rsid w:val="00D62DEC"/>
    <w:rsid w:val="00D62E00"/>
    <w:rsid w:val="00D63BAD"/>
    <w:rsid w:val="00D6410E"/>
    <w:rsid w:val="00D64194"/>
    <w:rsid w:val="00D6420A"/>
    <w:rsid w:val="00D6447E"/>
    <w:rsid w:val="00D64509"/>
    <w:rsid w:val="00D645BF"/>
    <w:rsid w:val="00D647F9"/>
    <w:rsid w:val="00D6485C"/>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2DE"/>
    <w:rsid w:val="00D7643F"/>
    <w:rsid w:val="00D769F0"/>
    <w:rsid w:val="00D76A31"/>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850"/>
    <w:rsid w:val="00D84268"/>
    <w:rsid w:val="00D84278"/>
    <w:rsid w:val="00D846C5"/>
    <w:rsid w:val="00D847C6"/>
    <w:rsid w:val="00D849FB"/>
    <w:rsid w:val="00D85594"/>
    <w:rsid w:val="00D85FEF"/>
    <w:rsid w:val="00D86073"/>
    <w:rsid w:val="00D86095"/>
    <w:rsid w:val="00D86ACF"/>
    <w:rsid w:val="00D86B37"/>
    <w:rsid w:val="00D86B86"/>
    <w:rsid w:val="00D86EF6"/>
    <w:rsid w:val="00D87154"/>
    <w:rsid w:val="00D8778A"/>
    <w:rsid w:val="00D91009"/>
    <w:rsid w:val="00D9120D"/>
    <w:rsid w:val="00D9126A"/>
    <w:rsid w:val="00D912DF"/>
    <w:rsid w:val="00D9151F"/>
    <w:rsid w:val="00D917B9"/>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3E0"/>
    <w:rsid w:val="00D948B1"/>
    <w:rsid w:val="00D94909"/>
    <w:rsid w:val="00D94BB0"/>
    <w:rsid w:val="00D94FF3"/>
    <w:rsid w:val="00D95322"/>
    <w:rsid w:val="00D955B0"/>
    <w:rsid w:val="00D957C0"/>
    <w:rsid w:val="00D95BC2"/>
    <w:rsid w:val="00D95BFF"/>
    <w:rsid w:val="00D95F45"/>
    <w:rsid w:val="00D96AD5"/>
    <w:rsid w:val="00D96C9A"/>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6F4D"/>
    <w:rsid w:val="00DC7890"/>
    <w:rsid w:val="00DC79A3"/>
    <w:rsid w:val="00DC7B9B"/>
    <w:rsid w:val="00DC7E92"/>
    <w:rsid w:val="00DD02C4"/>
    <w:rsid w:val="00DD044C"/>
    <w:rsid w:val="00DD0567"/>
    <w:rsid w:val="00DD0976"/>
    <w:rsid w:val="00DD128A"/>
    <w:rsid w:val="00DD12B1"/>
    <w:rsid w:val="00DD12B5"/>
    <w:rsid w:val="00DD18BD"/>
    <w:rsid w:val="00DD1947"/>
    <w:rsid w:val="00DD1E75"/>
    <w:rsid w:val="00DD1ED7"/>
    <w:rsid w:val="00DD2163"/>
    <w:rsid w:val="00DD242B"/>
    <w:rsid w:val="00DD2FE5"/>
    <w:rsid w:val="00DD32DF"/>
    <w:rsid w:val="00DD3401"/>
    <w:rsid w:val="00DD3430"/>
    <w:rsid w:val="00DD3480"/>
    <w:rsid w:val="00DD3565"/>
    <w:rsid w:val="00DD3F56"/>
    <w:rsid w:val="00DD49D3"/>
    <w:rsid w:val="00DD59AB"/>
    <w:rsid w:val="00DD59EC"/>
    <w:rsid w:val="00DD5FFE"/>
    <w:rsid w:val="00DD6396"/>
    <w:rsid w:val="00DD6AE1"/>
    <w:rsid w:val="00DD6C70"/>
    <w:rsid w:val="00DD6DA2"/>
    <w:rsid w:val="00DD761C"/>
    <w:rsid w:val="00DE0171"/>
    <w:rsid w:val="00DE0333"/>
    <w:rsid w:val="00DE0558"/>
    <w:rsid w:val="00DE067E"/>
    <w:rsid w:val="00DE088E"/>
    <w:rsid w:val="00DE0B96"/>
    <w:rsid w:val="00DE10E5"/>
    <w:rsid w:val="00DE128B"/>
    <w:rsid w:val="00DE1799"/>
    <w:rsid w:val="00DE199B"/>
    <w:rsid w:val="00DE21CF"/>
    <w:rsid w:val="00DE279F"/>
    <w:rsid w:val="00DE2D4B"/>
    <w:rsid w:val="00DE368D"/>
    <w:rsid w:val="00DE3E7C"/>
    <w:rsid w:val="00DE464E"/>
    <w:rsid w:val="00DE4664"/>
    <w:rsid w:val="00DE4811"/>
    <w:rsid w:val="00DE4B0C"/>
    <w:rsid w:val="00DE5FDA"/>
    <w:rsid w:val="00DE61AA"/>
    <w:rsid w:val="00DE684E"/>
    <w:rsid w:val="00DE6CDC"/>
    <w:rsid w:val="00DE72D7"/>
    <w:rsid w:val="00DE752E"/>
    <w:rsid w:val="00DE7793"/>
    <w:rsid w:val="00DE7D03"/>
    <w:rsid w:val="00DE7F45"/>
    <w:rsid w:val="00DF02EC"/>
    <w:rsid w:val="00DF0820"/>
    <w:rsid w:val="00DF0A6D"/>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79E"/>
    <w:rsid w:val="00E15855"/>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51"/>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CCA"/>
    <w:rsid w:val="00E52F76"/>
    <w:rsid w:val="00E5315C"/>
    <w:rsid w:val="00E5330A"/>
    <w:rsid w:val="00E534EA"/>
    <w:rsid w:val="00E538E0"/>
    <w:rsid w:val="00E547DF"/>
    <w:rsid w:val="00E54D33"/>
    <w:rsid w:val="00E55FDD"/>
    <w:rsid w:val="00E5602E"/>
    <w:rsid w:val="00E5642C"/>
    <w:rsid w:val="00E564C1"/>
    <w:rsid w:val="00E56898"/>
    <w:rsid w:val="00E56D97"/>
    <w:rsid w:val="00E56E3C"/>
    <w:rsid w:val="00E56F3C"/>
    <w:rsid w:val="00E5711F"/>
    <w:rsid w:val="00E57456"/>
    <w:rsid w:val="00E57623"/>
    <w:rsid w:val="00E57B64"/>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247"/>
    <w:rsid w:val="00E65A35"/>
    <w:rsid w:val="00E65E6B"/>
    <w:rsid w:val="00E6640D"/>
    <w:rsid w:val="00E666A1"/>
    <w:rsid w:val="00E6682F"/>
    <w:rsid w:val="00E669FD"/>
    <w:rsid w:val="00E6713B"/>
    <w:rsid w:val="00E67631"/>
    <w:rsid w:val="00E7041A"/>
    <w:rsid w:val="00E705E5"/>
    <w:rsid w:val="00E709D3"/>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80E"/>
    <w:rsid w:val="00E80939"/>
    <w:rsid w:val="00E80E08"/>
    <w:rsid w:val="00E810EC"/>
    <w:rsid w:val="00E8112C"/>
    <w:rsid w:val="00E8138F"/>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1139"/>
    <w:rsid w:val="00E915E1"/>
    <w:rsid w:val="00E917AC"/>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6F"/>
    <w:rsid w:val="00E93D80"/>
    <w:rsid w:val="00E94307"/>
    <w:rsid w:val="00E94739"/>
    <w:rsid w:val="00E94762"/>
    <w:rsid w:val="00E94F76"/>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37A"/>
    <w:rsid w:val="00EC28CD"/>
    <w:rsid w:val="00EC2915"/>
    <w:rsid w:val="00EC2C50"/>
    <w:rsid w:val="00EC2E21"/>
    <w:rsid w:val="00EC30FE"/>
    <w:rsid w:val="00EC36DD"/>
    <w:rsid w:val="00EC381F"/>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9E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EED"/>
    <w:rsid w:val="00F06E13"/>
    <w:rsid w:val="00F06F02"/>
    <w:rsid w:val="00F07CC1"/>
    <w:rsid w:val="00F10437"/>
    <w:rsid w:val="00F10465"/>
    <w:rsid w:val="00F10864"/>
    <w:rsid w:val="00F1165E"/>
    <w:rsid w:val="00F11CF5"/>
    <w:rsid w:val="00F1217F"/>
    <w:rsid w:val="00F12B3D"/>
    <w:rsid w:val="00F13242"/>
    <w:rsid w:val="00F1403E"/>
    <w:rsid w:val="00F140FE"/>
    <w:rsid w:val="00F1415B"/>
    <w:rsid w:val="00F1418D"/>
    <w:rsid w:val="00F14ACD"/>
    <w:rsid w:val="00F14FB4"/>
    <w:rsid w:val="00F15CF3"/>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8C1"/>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A8B"/>
    <w:rsid w:val="00F31F17"/>
    <w:rsid w:val="00F3236F"/>
    <w:rsid w:val="00F32374"/>
    <w:rsid w:val="00F32DD1"/>
    <w:rsid w:val="00F32F0E"/>
    <w:rsid w:val="00F32F3E"/>
    <w:rsid w:val="00F3333E"/>
    <w:rsid w:val="00F335AC"/>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97A"/>
    <w:rsid w:val="00F37AEF"/>
    <w:rsid w:val="00F37DC6"/>
    <w:rsid w:val="00F41D1F"/>
    <w:rsid w:val="00F426B0"/>
    <w:rsid w:val="00F42910"/>
    <w:rsid w:val="00F42C2B"/>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13BA"/>
    <w:rsid w:val="00F51447"/>
    <w:rsid w:val="00F514EF"/>
    <w:rsid w:val="00F516F4"/>
    <w:rsid w:val="00F517FC"/>
    <w:rsid w:val="00F521C6"/>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D8F"/>
    <w:rsid w:val="00F61FDE"/>
    <w:rsid w:val="00F62143"/>
    <w:rsid w:val="00F62338"/>
    <w:rsid w:val="00F62377"/>
    <w:rsid w:val="00F62862"/>
    <w:rsid w:val="00F6296C"/>
    <w:rsid w:val="00F62FE3"/>
    <w:rsid w:val="00F63005"/>
    <w:rsid w:val="00F63289"/>
    <w:rsid w:val="00F639FA"/>
    <w:rsid w:val="00F63A49"/>
    <w:rsid w:val="00F63CD2"/>
    <w:rsid w:val="00F63F6F"/>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26A"/>
    <w:rsid w:val="00F73F43"/>
    <w:rsid w:val="00F74664"/>
    <w:rsid w:val="00F74791"/>
    <w:rsid w:val="00F747FD"/>
    <w:rsid w:val="00F74A7A"/>
    <w:rsid w:val="00F752FD"/>
    <w:rsid w:val="00F75C0B"/>
    <w:rsid w:val="00F763DF"/>
    <w:rsid w:val="00F77028"/>
    <w:rsid w:val="00F7792A"/>
    <w:rsid w:val="00F77C47"/>
    <w:rsid w:val="00F77CFA"/>
    <w:rsid w:val="00F802D3"/>
    <w:rsid w:val="00F80858"/>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3A0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3487"/>
    <w:rsid w:val="00F9357A"/>
    <w:rsid w:val="00F9360D"/>
    <w:rsid w:val="00F9362F"/>
    <w:rsid w:val="00F939E7"/>
    <w:rsid w:val="00F93A3D"/>
    <w:rsid w:val="00F93A5F"/>
    <w:rsid w:val="00F94003"/>
    <w:rsid w:val="00F9441F"/>
    <w:rsid w:val="00F945E2"/>
    <w:rsid w:val="00F94620"/>
    <w:rsid w:val="00F94737"/>
    <w:rsid w:val="00F9495D"/>
    <w:rsid w:val="00F94F94"/>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52"/>
    <w:rsid w:val="00FB4065"/>
    <w:rsid w:val="00FB4760"/>
    <w:rsid w:val="00FB47B5"/>
    <w:rsid w:val="00FB5201"/>
    <w:rsid w:val="00FB52FD"/>
    <w:rsid w:val="00FB57A7"/>
    <w:rsid w:val="00FB582D"/>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55EE"/>
    <w:rsid w:val="00FC65A0"/>
    <w:rsid w:val="00FC6B41"/>
    <w:rsid w:val="00FC6B92"/>
    <w:rsid w:val="00FC6D8C"/>
    <w:rsid w:val="00FC6E58"/>
    <w:rsid w:val="00FC747D"/>
    <w:rsid w:val="00FC791E"/>
    <w:rsid w:val="00FC7C87"/>
    <w:rsid w:val="00FC7F93"/>
    <w:rsid w:val="00FD10D2"/>
    <w:rsid w:val="00FD235B"/>
    <w:rsid w:val="00FD2804"/>
    <w:rsid w:val="00FD282A"/>
    <w:rsid w:val="00FD2A71"/>
    <w:rsid w:val="00FD3124"/>
    <w:rsid w:val="00FD3905"/>
    <w:rsid w:val="00FD421F"/>
    <w:rsid w:val="00FD4CC0"/>
    <w:rsid w:val="00FD5999"/>
    <w:rsid w:val="00FD6318"/>
    <w:rsid w:val="00FD680C"/>
    <w:rsid w:val="00FD6A3D"/>
    <w:rsid w:val="00FD6D13"/>
    <w:rsid w:val="00FD6F9D"/>
    <w:rsid w:val="00FD72D9"/>
    <w:rsid w:val="00FD73AE"/>
    <w:rsid w:val="00FD7D6B"/>
    <w:rsid w:val="00FE00CB"/>
    <w:rsid w:val="00FE00DC"/>
    <w:rsid w:val="00FE0477"/>
    <w:rsid w:val="00FE0657"/>
    <w:rsid w:val="00FE072D"/>
    <w:rsid w:val="00FE13CC"/>
    <w:rsid w:val="00FE15F5"/>
    <w:rsid w:val="00FE1728"/>
    <w:rsid w:val="00FE190C"/>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21306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HR33RHYHUWRF-4-6723</_dlc_DocId>
    <_dlc_DocIdUrl xmlns="c06861ca-3f08-4d07-bff7-bb15bac121f4">
      <Url>https://projects.qualcomm.com/sites/pentari/_layouts/15/DocIdRedir.aspx?ID=HR33RHYHUWRF-4-6723</Url>
      <Description>HR33RHYHUWRF-4-6723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FB5EF0DB-9054-4E3C-93CB-030ADD601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7</Pages>
  <Words>2193</Words>
  <Characters>12505</Characters>
  <Application>Microsoft Office Word</Application>
  <DocSecurity>0</DocSecurity>
  <Lines>104</Lines>
  <Paragraphs>29</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Benefits of NR NOMA</vt:lpstr>
      <vt:lpstr>    Signalling Overhead</vt:lpstr>
      <vt:lpstr>    Latency</vt:lpstr>
      <vt:lpstr>Grant-based NOMA UL</vt:lpstr>
      <vt:lpstr>    gNB Assignment of Linear Hybrid Spreading</vt:lpstr>
      <vt:lpstr>    gNB Assignment of DMRS Sequences</vt:lpstr>
      <vt:lpstr>Grant-free NOMA UL </vt:lpstr>
      <vt:lpstr>HARQ in NOMA UL</vt:lpstr>
      <vt:lpstr>Conclusions</vt:lpstr>
      <vt:lpstr>References</vt:lpstr>
    </vt:vector>
  </TitlesOfParts>
  <Company>Qualcomm Inc.</Company>
  <LinksUpToDate>false</LinksUpToDate>
  <CharactersWithSpaces>14669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Jing Lei</cp:lastModifiedBy>
  <cp:revision>87</cp:revision>
  <cp:lastPrinted>2014-11-07T05:38:00Z</cp:lastPrinted>
  <dcterms:created xsi:type="dcterms:W3CDTF">2018-04-06T01:18:00Z</dcterms:created>
  <dcterms:modified xsi:type="dcterms:W3CDTF">2018-04-07T03:32:00Z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4f228300-a520-4026-91d1-0a8f90adcef0</vt:lpwstr>
  </property>
</Properties>
</file>